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jc w:val="center"/>
      </w:pPr>
      <w:r>
        <w:rPr>
          <w:rFonts w:ascii="Calibri" w:hAnsi="Calibri"/>
          <w:b/>
          <w:color w:val="002060"/>
          <w:sz w:val="26"/>
        </w:rPr>
        <w:t>SIMATS ENGINEERING (SAVEETHA SCHOOL OF ENGINEERING)</w:t>
      </w:r>
    </w:p>
    <w:p>
      <w:pPr>
        <w:spacing w:after="80" w:before="40"/>
        <w:jc w:val="center"/>
      </w:pPr>
      <w:r>
        <w:rPr>
          <w:rFonts w:ascii="Calibri" w:hAnsi="Calibri"/>
          <w:b w:val="0"/>
          <w:color w:val="333333"/>
          <w:sz w:val="22"/>
        </w:rPr>
        <w:t>Department of Computer Science and Engineering</w:t>
      </w:r>
    </w:p>
    <w:p>
      <w:pPr>
        <w:spacing w:after="80" w:before="40"/>
        <w:jc w:val="center"/>
      </w:pPr>
      <w:r>
        <w:rPr>
          <w:rFonts w:ascii="Calibri" w:hAnsi="Calibri"/>
          <w:b/>
          <w:color w:val="1F497D"/>
          <w:sz w:val="24"/>
        </w:rPr>
        <w:t>ASSESSMENT TOOL 3  –  VIVA VOCE (20 Questions)</w:t>
      </w:r>
    </w:p>
    <w:p>
      <w:pPr>
        <w:spacing w:after="80" w:before="40"/>
      </w:pPr>
    </w:p>
    <w:p>
      <w:pPr>
        <w:spacing w:after="80" w:before="40"/>
      </w:pPr>
    </w:p>
    <w:p>
      <w:pPr>
        <w:spacing w:after="80" w:before="40"/>
      </w:pPr>
    </w:p>
    <w:p>
      <w:pPr>
        <w:spacing w:after="80" w:before="40"/>
      </w:pPr>
    </w:p>
    <w:p>
      <w:pPr>
        <w:spacing w:after="80" w:before="40"/>
        <w:jc w:val="left"/>
      </w:pPr>
      <w:r>
        <w:rPr>
          <w:rFonts w:ascii="Calibri" w:hAnsi="Calibri"/>
          <w:b/>
          <w:color w:val="002060"/>
          <w:sz w:val="24"/>
        </w:rPr>
        <w:t>Annexure A – Viva Voyce</w:t>
      </w:r>
    </w:p>
    <w:p>
      <w:pPr>
        <w:spacing w:before="240" w:after="80" w:line="276" w:lineRule="auto"/>
      </w:pPr>
      <w:r>
        <w:rPr>
          <w:rFonts w:ascii="Calibri" w:hAnsi="Calibri"/>
          <w:b/>
          <w:color w:val="002060"/>
          <w:sz w:val="22"/>
        </w:rPr>
        <w:t>1. Role of visualization in communicating uncertainty in data</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Visualization translates complex statistical variability (such as standard error, sample variance, and confidence intervals) into intuitive visual encodings like error bars, shaded bands, or density distributions. It prevents decision-makers from over-interpreting noisy point estimates as absolute truth, thereby enabling risk-informed planning and transparent data communication.</w:t>
      </w:r>
    </w:p>
    <w:p>
      <w:pPr>
        <w:spacing w:before="240" w:after="80" w:line="276" w:lineRule="auto"/>
      </w:pPr>
      <w:r>
        <w:rPr>
          <w:rFonts w:ascii="Calibri" w:hAnsi="Calibri"/>
          <w:b/>
          <w:color w:val="002060"/>
          <w:sz w:val="22"/>
        </w:rPr>
        <w:t>2. Representation of probabilities effectively in a plot</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Probabilities are effectively visually represented using Probability Density Function (PDF) curves, Cumulative Distribution Function (CDF) graphs, or gradient density strips. Using frequency-based visualizations (such as '10 out of 100 dots') or Hypothetical Outcome Plots (HOPs) enhances intuitive comprehension compared to abstract decimal percentages.</w:t>
      </w:r>
    </w:p>
    <w:p>
      <w:pPr>
        <w:spacing w:before="240" w:after="80" w:line="276" w:lineRule="auto"/>
      </w:pPr>
      <w:r>
        <w:rPr>
          <w:rFonts w:ascii="Calibri" w:hAnsi="Calibri"/>
          <w:b/>
          <w:color w:val="002060"/>
          <w:sz w:val="22"/>
        </w:rPr>
        <w:t>3. Confidence interval and methods to display it visually</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A confidence interval defines a range of values within which a true population parameter is expected to fall with a specified probability (e.g., 95%). Visually, confidence intervals are displayed using T-capped error bars, shaded confidence bands along trendlines, dot-interval plots, or half-violin density shapes.</w:t>
      </w:r>
    </w:p>
    <w:p>
      <w:pPr>
        <w:spacing w:before="240" w:after="80" w:line="276" w:lineRule="auto"/>
      </w:pPr>
      <w:r>
        <w:rPr>
          <w:rFonts w:ascii="Calibri" w:hAnsi="Calibri"/>
          <w:b/>
          <w:color w:val="002060"/>
          <w:sz w:val="22"/>
        </w:rPr>
        <w:t>4. Bootstrapping and its use in uncertainty visualization</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Bootstrapping is a non-parametric resampling technique that generates an empirical distribution of a statistic by repeatedly sampling with replacement from observed data. In visualization, bootstrap distribution samples are plotted as ensemble spaghetti lines or semi-transparent density curves, visually conveying parameter uncertainty without assuming normality.</w:t>
      </w:r>
    </w:p>
    <w:p>
      <w:pPr>
        <w:spacing w:before="240" w:after="80" w:line="276" w:lineRule="auto"/>
      </w:pPr>
      <w:r>
        <w:rPr>
          <w:rFonts w:ascii="Calibri" w:hAnsi="Calibri"/>
          <w:b/>
          <w:color w:val="002060"/>
          <w:sz w:val="22"/>
        </w:rPr>
        <w:t>5. Hypothetical outcome plots and situations for their use</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Hypothetical Outcome Plots (HOPs) animate or sequentially display discrete draw samples from a probability distribution over time. HOPs are particularly useful when presenting uncertainty to non-expert audiences, as human visual perception naturally processes dynamic frequency variations faster and more accurately than static error bars.</w:t>
      </w:r>
    </w:p>
    <w:p>
      <w:pPr>
        <w:spacing w:before="240" w:after="80" w:line="276" w:lineRule="auto"/>
      </w:pPr>
      <w:r>
        <w:rPr>
          <w:rFonts w:ascii="Calibri" w:hAnsi="Calibri"/>
          <w:b/>
          <w:color w:val="002060"/>
          <w:sz w:val="22"/>
        </w:rPr>
        <w:t>6. Principle of proportional ink in data visualization</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The Proportional Ink Principle states that the visual area or length of shaded ink used to represent a data value must be directly proportional to the magnitude of the numerical value itself. Violating this principle (such as using truncated zero-baselines in bar charts) visually distorts data relationships and misleads viewers.</w:t>
      </w:r>
    </w:p>
    <w:p>
      <w:pPr>
        <w:spacing w:before="240" w:after="80" w:line="276" w:lineRule="auto"/>
      </w:pPr>
      <w:r>
        <w:rPr>
          <w:rFonts w:ascii="Calibri" w:hAnsi="Calibri"/>
          <w:b/>
          <w:color w:val="002060"/>
          <w:sz w:val="22"/>
        </w:rPr>
        <w:t>7. Importance of axis design when presenting uncertainty</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Proper axis design ensures that uncertainty bounds, scale ranges, and baseline references are faithfully represented without exaggeration or suppression. Truncating axes or applying non-linear scaling can artificially widen or compress confidence intervals, distorting the perceived reliability of statistical estimates.</w:t>
      </w:r>
    </w:p>
    <w:p>
      <w:pPr>
        <w:spacing w:before="240" w:after="80" w:line="276" w:lineRule="auto"/>
      </w:pPr>
      <w:r>
        <w:rPr>
          <w:rFonts w:ascii="Calibri" w:hAnsi="Calibri"/>
          <w:b/>
          <w:color w:val="002060"/>
          <w:sz w:val="22"/>
        </w:rPr>
        <w:t>8. Techniques to handle overplotting in scatterplots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Overplotting can be mitigated by applying jittering (adding slight random noise), setting alpha transparency on points, reducing marker sizes, using binning techniques (hexagonal binning or 2D density contours), or rendering beeswarm/dot plots.</w:t>
      </w:r>
    </w:p>
    <w:p>
      <w:pPr>
        <w:spacing w:before="240" w:after="80" w:line="276" w:lineRule="auto"/>
      </w:pPr>
      <w:r>
        <w:rPr>
          <w:rFonts w:ascii="Calibri" w:hAnsi="Calibri"/>
          <w:b/>
          <w:color w:val="002060"/>
          <w:sz w:val="22"/>
        </w:rPr>
        <w:t>9. Use of transparency to visualize dense datasets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Alpha transparency assigns an opacity value (alpha &lt; 1.0) to individual visual marks, allowing overlapping points to visually combine and increase color density. This naturally highlights high-concentration clusters and data hot-spots that would otherwise remain hidden in opaque plots.</w:t>
      </w:r>
    </w:p>
    <w:p>
      <w:pPr>
        <w:spacing w:before="240" w:after="80" w:line="276" w:lineRule="auto"/>
      </w:pPr>
      <w:r>
        <w:rPr>
          <w:rFonts w:ascii="Calibri" w:hAnsi="Calibri"/>
          <w:b/>
          <w:color w:val="002060"/>
          <w:sz w:val="22"/>
        </w:rPr>
        <w:t>10. Jittering to reduce visual clutter and its limitations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Jittering adds controlled pseudo-random noise to discrete data coordinates, spreading overlapping points to reveal sample counts. Its primary limitation is that excessive jitter displacement can obscure true discrete values, misrepresent continuous trends, or introduce visual artifacts if not strictly bounded.</w:t>
      </w:r>
    </w:p>
    <w:p>
      <w:pPr>
        <w:spacing w:before="240" w:after="80" w:line="276" w:lineRule="auto"/>
      </w:pPr>
      <w:r>
        <w:rPr>
          <w:rFonts w:ascii="Calibri" w:hAnsi="Calibri"/>
          <w:b/>
          <w:color w:val="002060"/>
          <w:sz w:val="22"/>
        </w:rPr>
        <w:t>11. Common pitfalls in representing uncertainty</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Common pitfalls include omitting error bars entirely, failing to explicitly specify whether error bars represent standard deviation, standard error, or confidence intervals, using truncated y-axes that exaggerate uncertainty, and relying on static point estimates that imply false certainty.</w:t>
      </w:r>
    </w:p>
    <w:p>
      <w:pPr>
        <w:spacing w:before="240" w:after="80" w:line="276" w:lineRule="auto"/>
      </w:pPr>
      <w:r>
        <w:rPr>
          <w:rFonts w:ascii="Calibri" w:hAnsi="Calibri"/>
          <w:b/>
          <w:color w:val="002060"/>
          <w:sz w:val="22"/>
        </w:rPr>
        <w:t>12. Misuse of color leading to misleading probabilistic plots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Misusing color includes employing non-perceptually uniform color scales (such as rainbow colormaps), using hard threshold color cuts that imply false binary certainty, or choosing red-green palettes that exclude colorblind viewers and trigger biased risk perceptions.</w:t>
      </w:r>
    </w:p>
    <w:p>
      <w:pPr>
        <w:spacing w:before="240" w:after="80" w:line="276" w:lineRule="auto"/>
      </w:pPr>
      <w:r>
        <w:rPr>
          <w:rFonts w:ascii="Calibri" w:hAnsi="Calibri"/>
          <w:b/>
          <w:color w:val="002060"/>
          <w:sz w:val="22"/>
        </w:rPr>
        <w:t>13. Avoiding misleading axes in visualizations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Misleading axes are avoided by always enforcing zero baselines for length/area-based charts (like bar charts), ensuring constant grid intervals, clearly labeling axis breaks or logarithmic scales, and maintaining consistent aspect ratios across comparative subplots.</w:t>
      </w:r>
    </w:p>
    <w:p>
      <w:pPr>
        <w:spacing w:before="240" w:after="80" w:line="276" w:lineRule="auto"/>
      </w:pPr>
      <w:r>
        <w:rPr>
          <w:rFonts w:ascii="Calibri" w:hAnsi="Calibri"/>
          <w:b/>
          <w:color w:val="002060"/>
          <w:sz w:val="22"/>
        </w:rPr>
        <w:t>14. Accessibility considerations in uncertainty visualization</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Accessibility requires using colorblind-safe palettes (e.g., Okabe-Ito or Viridis), supplementing color with redundant visual channels (such as line styles, shapes, or text labels), ensuring high background contrast, and providing alt-text descriptions or raw tabular data.</w:t>
      </w:r>
    </w:p>
    <w:p>
      <w:pPr>
        <w:spacing w:before="240" w:after="80" w:line="276" w:lineRule="auto"/>
      </w:pPr>
      <w:r>
        <w:rPr>
          <w:rFonts w:ascii="Calibri" w:hAnsi="Calibri"/>
          <w:b/>
          <w:color w:val="002060"/>
          <w:sz w:val="22"/>
        </w:rPr>
        <w:t>15. Differences between error bars and gradient plots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Error bars display fixed upper and lower summary bounds (e.g., ±1.96 SE) as discrete line segments, often creating false visual boundaries. Gradient plots (or fan charts) use continuous color fading to represent full probability density distributions, offering a richer, continuous visualization of uncertainty.</w:t>
      </w:r>
    </w:p>
    <w:p>
      <w:pPr>
        <w:spacing w:before="240" w:after="80" w:line="276" w:lineRule="auto"/>
      </w:pPr>
      <w:r>
        <w:rPr>
          <w:rFonts w:ascii="Calibri" w:hAnsi="Calibri"/>
          <w:b/>
          <w:color w:val="002060"/>
          <w:sz w:val="22"/>
        </w:rPr>
        <w:t>16. Visualization of probability distributions for categorical variables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Categorical probability distributions are best visualized using grouped or stacked bar charts, probability dot plots, mosaic plots, or spineplots, where bar lengths or cell areas directly correspond to class probabilities summing to 1.0.</w:t>
      </w:r>
    </w:p>
    <w:p>
      <w:pPr>
        <w:spacing w:before="240" w:after="80" w:line="276" w:lineRule="auto"/>
      </w:pPr>
      <w:r>
        <w:rPr>
          <w:rFonts w:ascii="Calibri" w:hAnsi="Calibri"/>
          <w:b/>
          <w:color w:val="002060"/>
          <w:sz w:val="22"/>
        </w:rPr>
        <w:t>17. Combining multiple uncertainty representations in one plot</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Combining methods—such as layering 50% and 95% confidence intervals with gradient shading and ensemble sample lines—provides both quick summary bounds and granular distribution details, serving diverse stakeholder analytical needs in a single visual.</w:t>
      </w:r>
    </w:p>
    <w:p>
      <w:pPr>
        <w:spacing w:before="240" w:after="80" w:line="276" w:lineRule="auto"/>
      </w:pPr>
      <w:r>
        <w:rPr>
          <w:rFonts w:ascii="Calibri" w:hAnsi="Calibri"/>
          <w:b/>
          <w:color w:val="002060"/>
          <w:sz w:val="22"/>
        </w:rPr>
        <w:t>18. Pros and cons of animated versus static uncertainty visualizations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Animated visualizations (like HOPs) actively engage intuitive visual perception and reduce cognitive bias regarding fixed boundaries, but can be distracting and unsuitable for print media. Static visualizations offer stable, quick reference points and lower cognitive load for detailed side-by-side analysis.</w:t>
      </w:r>
    </w:p>
    <w:p>
      <w:pPr>
        <w:spacing w:before="240" w:after="80" w:line="276" w:lineRule="auto"/>
      </w:pPr>
      <w:r>
        <w:rPr>
          <w:rFonts w:ascii="Calibri" w:hAnsi="Calibri"/>
          <w:b/>
          <w:color w:val="002060"/>
          <w:sz w:val="22"/>
        </w:rPr>
        <w:t>19. Interactive visualization techniques to understand confidence intervals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Interactive techniques include hover tooltips displaying exact confidence bounds, sliders allowing users to dynamically adjust sample sizes (n) or confidence levels (90%, 95%, 99%), and interactive resampling widgets demonstrating how confidence intervals vary across samples.</w:t>
      </w:r>
    </w:p>
    <w:p>
      <w:pPr>
        <w:spacing w:before="240" w:after="80" w:line="276" w:lineRule="auto"/>
      </w:pPr>
      <w:r>
        <w:rPr>
          <w:rFonts w:ascii="Calibri" w:hAnsi="Calibri"/>
          <w:b/>
          <w:color w:val="002060"/>
          <w:sz w:val="22"/>
        </w:rPr>
        <w:t>20. Best practices to avoid exaggerating uncertainty in plots</w:t>
      </w:r>
    </w:p>
    <w:p>
      <w:pPr>
        <w:spacing w:before="40" w:after="160" w:line="276" w:lineRule="auto"/>
        <w:ind w:left="360"/>
      </w:pPr>
      <w:r>
        <w:rPr>
          <w:rFonts w:ascii="Calibri" w:hAnsi="Calibri"/>
          <w:b/>
          <w:color w:val="1F497D"/>
          <w:sz w:val="21"/>
        </w:rPr>
        <w:t xml:space="preserve">Answer: </w:t>
      </w:r>
      <w:r>
        <w:rPr>
          <w:rFonts w:ascii="Calibri" w:hAnsi="Calibri"/>
          <w:color w:val="262626"/>
          <w:sz w:val="21"/>
        </w:rPr>
        <w:t>Best practices include choosing appropriate scale ranges, avoiding arbitrary axis truncation, using dual confidence intervals (e.g., 50% inner and 95% outer bounds), clearly defining statistical metrics in titles/captions, and pairing visual plots with tabular numerical metrics.</w:t>
      </w:r>
    </w:p>
    <w:p>
      <w:pPr>
        <w:spacing w:after="80" w:before="40"/>
        <w:jc w:val="left"/>
      </w:pPr>
      <w:r>
        <w:rPr>
          <w:rFonts w:ascii="Calibri" w:hAnsi="Calibri"/>
          <w:b/>
          <w:color w:val="002060"/>
          <w:sz w:val="24"/>
        </w:rPr>
        <w:t>Rubrics for Calculation</w:t>
      </w:r>
    </w:p>
    <w:p>
      <w:pPr>
        <w:spacing w:after="80" w:before="40"/>
      </w:pPr>
    </w:p>
    <w:p>
      <w:pPr>
        <w:spacing w:after="80" w:before="40"/>
      </w:pPr>
    </w:p>
    <w:sectPr w:rsidR="00FC693F" w:rsidRPr="0006063C" w:rsidSect="00034616">
      <w:pgSz w:w="12240" w:h="15840"/>
      <w:pgMar w:top="1440" w:right="1440" w:bottom="1440" w:left="1440" w:header="720" w:footer="720" w:gutter="0"/>
      <w:cols w:space="720"/>
      <w:docGrid w:linePitch="360"/>
    </w:sectPr>
    <w:tb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77BBA" w14:paraId="70E9894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40" w14:textId="77777777" w:rsidR="00C77BBA" w:rsidRDefault="008A7FD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41" w14:textId="6353C38D" w:rsidR="00C77BBA" w:rsidRDefault="00D70738">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42" w14:textId="77777777" w:rsidR="00C77BBA" w:rsidRDefault="008A7FD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43" w14:textId="6D3F4F9D" w:rsidR="00C77BBA" w:rsidRDefault="00D70738">
            <w:r>
              <w:rPr>
                <w:sz w:val="18"/>
                <w:szCs w:val="18"/>
              </w:rPr>
              <w:t>Data Handling and Visualization</w:t>
            </w:r>
          </w:p>
        </w:tc>
      </w:tr>
      <w:tr w:rsidR="00C77BBA" w14:paraId="70E9894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45" w14:textId="77777777" w:rsidR="00C77BBA" w:rsidRDefault="008A7FD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46" w14:textId="438B8091" w:rsidR="00C77BBA" w:rsidRDefault="008A7FDF">
            <w:r>
              <w:rPr>
                <w:sz w:val="18"/>
                <w:szCs w:val="18"/>
              </w:rPr>
              <w:t>CO</w:t>
            </w:r>
            <w:r w:rsidR="00AE567E">
              <w:rPr>
                <w:sz w:val="18"/>
                <w:szCs w:val="18"/>
              </w:rPr>
              <w:t>5</w:t>
            </w:r>
            <w:r>
              <w:rPr>
                <w:sz w:val="18"/>
                <w:szCs w:val="18"/>
              </w:rPr>
              <w:t xml:space="preserve"> – </w:t>
            </w:r>
            <w:r w:rsidR="00152CCB">
              <w:rPr>
                <w:sz w:val="18"/>
                <w:szCs w:val="18"/>
              </w:rPr>
              <w:t>Precision</w:t>
            </w:r>
            <w:r>
              <w:rPr>
                <w:sz w:val="18"/>
                <w:szCs w:val="18"/>
              </w:rPr>
              <w:t xml:space="preserve"> (BL</w:t>
            </w:r>
            <w:r w:rsidR="00152CCB">
              <w:rPr>
                <w:sz w:val="18"/>
                <w:szCs w:val="18"/>
              </w:rPr>
              <w:t>6</w:t>
            </w:r>
            <w:r>
              <w:rPr>
                <w:sz w:val="18"/>
                <w:szCs w:val="18"/>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47" w14:textId="77777777" w:rsidR="00C77BBA" w:rsidRDefault="008A7FD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48" w14:textId="404B56BF" w:rsidR="00C77BBA" w:rsidRDefault="008A7FDF">
            <w:r>
              <w:rPr>
                <w:sz w:val="18"/>
                <w:szCs w:val="18"/>
              </w:rPr>
              <w:t xml:space="preserve">Assessment Tool 3 – </w:t>
            </w:r>
            <w:r w:rsidR="009970D1">
              <w:rPr>
                <w:sz w:val="18"/>
                <w:szCs w:val="18"/>
              </w:rPr>
              <w:t>Viva Voyce</w:t>
            </w:r>
          </w:p>
        </w:tc>
      </w:tr>
      <w:tr w:rsidR="00C77BBA" w14:paraId="70E9894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4A" w14:textId="77777777" w:rsidR="00C77BBA" w:rsidRDefault="008A7FD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4B" w14:textId="77777777" w:rsidR="00C77BBA" w:rsidRDefault="008A7FDF">
            <w:r>
              <w:rPr>
                <w:sz w:val="18"/>
                <w:szCs w:val="18"/>
              </w:rPr>
              <w:t>10%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4C" w14:textId="77777777" w:rsidR="00C77BBA" w:rsidRDefault="008A7FDF">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4D" w14:textId="25C28B7C" w:rsidR="00C77BBA" w:rsidRDefault="009970D1">
            <w:r>
              <w:rPr>
                <w:sz w:val="18"/>
                <w:szCs w:val="18"/>
              </w:rPr>
              <w:t>2</w:t>
            </w:r>
            <w:r w:rsidR="008A7FDF">
              <w:rPr>
                <w:sz w:val="18"/>
                <w:szCs w:val="18"/>
              </w:rPr>
              <w:t>0  (</w:t>
            </w:r>
            <w:r>
              <w:rPr>
                <w:sz w:val="18"/>
                <w:szCs w:val="18"/>
              </w:rPr>
              <w:t>2</w:t>
            </w:r>
            <w:r w:rsidR="008A7FDF">
              <w:rPr>
                <w:sz w:val="18"/>
                <w:szCs w:val="18"/>
              </w:rPr>
              <w:t>0 Questions × 1 Mark)</w:t>
            </w:r>
          </w:p>
        </w:tc>
      </w:tr>
      <w:tr w:rsidR="00C77BBA" w14:paraId="70E989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4F" w14:textId="77777777" w:rsidR="00C77BBA" w:rsidRDefault="008A7FDF">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0E98950" w14:textId="0C39F528" w:rsidR="00C77BBA" w:rsidRPr="009970D1" w:rsidRDefault="009970D1">
            <w:pPr>
              <w:rPr>
                <w:i/>
                <w:iCs/>
                <w:color w:val="000000"/>
              </w:rPr>
            </w:pPr>
            <w:r>
              <w:rPr>
                <w:i/>
                <w:iCs/>
                <w:color w:val="000000"/>
              </w:rPr>
              <w:t>Create effective and interactive visualizations by integrating data wrangling and advanced visualization tools. (BL6)</w:t>
            </w:r>
          </w:p>
        </w:tc>
      </w:tr>
      <w:tr w:rsidR="00C77BBA" w14:paraId="70E9895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52" w14:textId="77777777" w:rsidR="00C77BBA" w:rsidRDefault="008A7FD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53" w14:textId="77777777" w:rsidR="00C77BBA" w:rsidRDefault="00C77BB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54" w14:textId="77777777" w:rsidR="00C77BBA" w:rsidRDefault="008A7FD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55" w14:textId="77777777" w:rsidR="00C77BBA" w:rsidRDefault="00C77BBA"/>
        </w:tc>
      </w:tr>
      <w:tr w:rsidR="00C77BBA" w14:paraId="70E9895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57" w14:textId="77777777" w:rsidR="00C77BBA" w:rsidRDefault="008A7FD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58" w14:textId="77777777" w:rsidR="00C77BBA" w:rsidRDefault="00C77BB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59" w14:textId="77777777" w:rsidR="00C77BBA" w:rsidRDefault="008A7FD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5A" w14:textId="77777777" w:rsidR="00C77BBA" w:rsidRDefault="00C77BBA"/>
        </w:tc>
      </w:tr>
    </w:tbl>
    <w:tb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77BBA" w14:paraId="70E9896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0E9895D" w14:textId="77777777" w:rsidR="00C77BBA" w:rsidRDefault="008A7FDF">
            <w:r>
              <w:rPr>
                <w:b/>
                <w:bCs/>
                <w:color w:val="C00000"/>
              </w:rPr>
              <w:t>Code of Conduct</w:t>
            </w:r>
          </w:p>
          <w:p w14:paraId="70E9895E" w14:textId="77777777" w:rsidR="00C77BBA" w:rsidRDefault="008A7FDF">
            <w:pPr>
              <w:spacing w:after="60"/>
              <w:rPr>
                <w:i/>
                <w:iCs/>
                <w:sz w:val="18"/>
                <w:szCs w:val="18"/>
              </w:rPr>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389D9EE" w14:textId="77777777" w:rsidR="00D70738" w:rsidRDefault="00D70738">
            <w:pPr>
              <w:spacing w:after="60"/>
            </w:pPr>
          </w:p>
          <w:p w14:paraId="70E9895F" w14:textId="77777777" w:rsidR="00C77BBA" w:rsidRDefault="008A7FDF">
            <w:r>
              <w:rPr>
                <w:sz w:val="18"/>
                <w:szCs w:val="18"/>
              </w:rPr>
              <w:t>Signature of the Student: _________________________</w:t>
            </w:r>
          </w:p>
        </w:tc>
      </w:tr>
    </w:tbl>
    <w:tb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77BBA" w14:paraId="70E9896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0E98962" w14:textId="77777777" w:rsidR="00C77BBA" w:rsidRDefault="008A7FDF">
            <w:r>
              <w:rPr>
                <w:b/>
                <w:bCs/>
                <w:color w:val="C00000"/>
              </w:rPr>
              <w:t>Instructions</w:t>
            </w:r>
          </w:p>
          <w:p w14:paraId="70E98964" w14:textId="7D711EFD" w:rsidR="00C77BBA" w:rsidRDefault="008A7FDF" w:rsidP="009970D1">
            <w:pPr>
              <w:numPr>
                <w:ilvl w:val="0"/>
                <w:numId w:val="1"/>
              </w:numPr>
              <w:pBdr>
                <w:top w:val="nil"/>
                <w:left w:val="nil"/>
                <w:bottom w:val="nil"/>
                <w:right w:val="nil"/>
                <w:between w:val="nil"/>
              </w:pBdr>
            </w:pPr>
            <w:r>
              <w:rPr>
                <w:color w:val="000000"/>
                <w:sz w:val="18"/>
                <w:szCs w:val="18"/>
              </w:rPr>
              <w:t xml:space="preserve">This test contains </w:t>
            </w:r>
            <w:r w:rsidR="009970D1">
              <w:rPr>
                <w:color w:val="000000"/>
                <w:sz w:val="18"/>
                <w:szCs w:val="18"/>
              </w:rPr>
              <w:t>20</w:t>
            </w:r>
            <w:r>
              <w:rPr>
                <w:color w:val="000000"/>
                <w:sz w:val="18"/>
                <w:szCs w:val="18"/>
              </w:rPr>
              <w:t xml:space="preserve"> questions, each carrying 1 mark. Total: </w:t>
            </w:r>
            <w:r w:rsidR="009970D1">
              <w:rPr>
                <w:color w:val="000000"/>
                <w:sz w:val="18"/>
                <w:szCs w:val="18"/>
              </w:rPr>
              <w:t>2</w:t>
            </w:r>
            <w:r>
              <w:rPr>
                <w:color w:val="000000"/>
                <w:sz w:val="18"/>
                <w:szCs w:val="18"/>
              </w:rPr>
              <w:t>0 Marks.</w:t>
            </w:r>
          </w:p>
          <w:p w14:paraId="70E98965" w14:textId="77777777" w:rsidR="00C77BBA" w:rsidRDefault="008A7FDF">
            <w:pPr>
              <w:numPr>
                <w:ilvl w:val="0"/>
                <w:numId w:val="1"/>
              </w:numPr>
              <w:pBdr>
                <w:top w:val="nil"/>
                <w:left w:val="nil"/>
                <w:bottom w:val="nil"/>
                <w:right w:val="nil"/>
                <w:between w:val="nil"/>
              </w:pBdr>
            </w:pPr>
            <w:r>
              <w:rPr>
                <w:color w:val="000000"/>
                <w:sz w:val="18"/>
                <w:szCs w:val="18"/>
              </w:rPr>
              <w:t>No negative marking. Unanswered questions carry zero marks.</w:t>
            </w:r>
          </w:p>
          <w:p w14:paraId="70E98966" w14:textId="77777777" w:rsidR="00C77BBA" w:rsidRDefault="008A7FDF">
            <w:pPr>
              <w:numPr>
                <w:ilvl w:val="0"/>
                <w:numId w:val="1"/>
              </w:numPr>
              <w:pBdr>
                <w:top w:val="nil"/>
                <w:left w:val="nil"/>
                <w:bottom w:val="nil"/>
                <w:right w:val="nil"/>
                <w:between w:val="nil"/>
              </w:pBdr>
            </w:pPr>
            <w:r>
              <w:rPr>
                <w:color w:val="000000"/>
                <w:sz w:val="18"/>
                <w:szCs w:val="18"/>
              </w:rPr>
              <w:t>No calculators or electronic devices permitted.</w:t>
            </w:r>
          </w:p>
          <w:p w14:paraId="70E98967" w14:textId="77777777" w:rsidR="00C77BBA" w:rsidRDefault="008A7FDF">
            <w:pPr>
              <w:numPr>
                <w:ilvl w:val="0"/>
                <w:numId w:val="1"/>
              </w:numPr>
              <w:pBdr>
                <w:top w:val="nil"/>
                <w:left w:val="nil"/>
                <w:bottom w:val="nil"/>
                <w:right w:val="nil"/>
                <w:between w:val="nil"/>
              </w:pBdr>
            </w:pPr>
            <w:r>
              <w:rPr>
                <w:color w:val="000000"/>
                <w:sz w:val="18"/>
                <w:szCs w:val="18"/>
              </w:rPr>
              <w:t>Duration: 60 minutes.</w:t>
            </w:r>
          </w:p>
        </w:tc>
      </w:tr>
    </w:tbl>
    <w:tb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428"/>
        <w:gridCol w:w="1372"/>
        <w:gridCol w:w="1200"/>
      </w:tblGrid>
      <w:tr w:rsidR="00241B5C" w14:paraId="70E9896E" w14:textId="77777777" w:rsidTr="004C4CD0">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96A" w14:textId="6FC7DF69" w:rsidR="00241B5C" w:rsidRDefault="00241B5C" w:rsidP="00241B5C">
            <w:pPr>
              <w:jc w:val="center"/>
            </w:pPr>
            <w:r>
              <w:rPr>
                <w:b/>
                <w:bCs/>
              </w:rPr>
              <w:t>Section / Topic</w:t>
            </w:r>
          </w:p>
        </w:tc>
        <w:tc>
          <w:tcPr>
            <w:tcW w:w="34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96B" w14:textId="696BB476" w:rsidR="00241B5C" w:rsidRDefault="00241B5C" w:rsidP="00241B5C">
            <w:pPr>
              <w:jc w:val="center"/>
            </w:pPr>
            <w:r>
              <w:rPr>
                <w:b/>
                <w:bCs/>
              </w:rPr>
              <w:t>Focus Area</w:t>
            </w:r>
          </w:p>
        </w:tc>
        <w:tc>
          <w:tcPr>
            <w:tcW w:w="13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96C" w14:textId="1605A959" w:rsidR="00241B5C" w:rsidRDefault="00241B5C" w:rsidP="00241B5C">
            <w:pPr>
              <w:jc w:val="center"/>
            </w:pPr>
            <w:r>
              <w:rPr>
                <w:b/>
                <w:bCs/>
              </w:rPr>
              <w:t>No. of Questions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96D" w14:textId="6047ABB5" w:rsidR="00241B5C" w:rsidRDefault="00241B5C" w:rsidP="00241B5C">
            <w:pPr>
              <w:jc w:val="center"/>
            </w:pPr>
            <w:r>
              <w:rPr>
                <w:b/>
                <w:bCs/>
              </w:rPr>
              <w:t>Marks</w:t>
            </w:r>
          </w:p>
        </w:tc>
      </w:tr>
      <w:tr w:rsidR="00241B5C" w14:paraId="70E98973" w14:textId="77777777" w:rsidTr="004C4CD0">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6F" w14:textId="7E45CF56" w:rsidR="00241B5C" w:rsidRDefault="00241B5C" w:rsidP="00241B5C">
            <w:r>
              <w:t>Visualizing Uncertainty</w:t>
            </w:r>
          </w:p>
        </w:tc>
        <w:tc>
          <w:tcPr>
            <w:tcW w:w="342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0" w14:textId="691F3913" w:rsidR="00241B5C" w:rsidRDefault="00241B5C" w:rsidP="00241B5C">
            <w:r>
              <w:t>Communicating uncertainty, probabilities, confidence intervals, bootstrapping, hypothetical outcome plots</w:t>
            </w:r>
          </w:p>
        </w:tc>
        <w:tc>
          <w:tcPr>
            <w:tcW w:w="137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1" w14:textId="65FAE67D" w:rsidR="00241B5C" w:rsidRDefault="00241B5C" w:rsidP="00241B5C">
            <w:pPr>
              <w:jc w:val="center"/>
            </w:pPr>
            <w:r>
              <w:t>5</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2" w14:textId="11F7EC32" w:rsidR="00241B5C" w:rsidRDefault="00241B5C" w:rsidP="00241B5C">
            <w:pPr>
              <w:jc w:val="center"/>
            </w:pPr>
            <w:r>
              <w:t>5</w:t>
            </w:r>
          </w:p>
        </w:tc>
      </w:tr>
      <w:tr w:rsidR="00241B5C" w14:paraId="70E98978" w14:textId="77777777" w:rsidTr="004C4CD0">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E98974" w14:textId="29C23CF5" w:rsidR="00241B5C" w:rsidRDefault="00241B5C" w:rsidP="00241B5C">
            <w:r>
              <w:t>Principles of Effective Visualization</w:t>
            </w:r>
          </w:p>
        </w:tc>
        <w:tc>
          <w:tcPr>
            <w:tcW w:w="3428"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0E98975" w14:textId="4ADD21D5" w:rsidR="00241B5C" w:rsidRDefault="00241B5C" w:rsidP="00241B5C">
            <w:r>
              <w:t>Proportional ink principle and axis design</w:t>
            </w:r>
          </w:p>
        </w:tc>
        <w:tc>
          <w:tcPr>
            <w:tcW w:w="137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6" w14:textId="45EF02E6" w:rsidR="00241B5C" w:rsidRDefault="00241B5C" w:rsidP="00241B5C">
            <w:pPr>
              <w:jc w:val="center"/>
            </w:pPr>
            <w: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7" w14:textId="5A920917" w:rsidR="00241B5C" w:rsidRDefault="00241B5C" w:rsidP="00241B5C">
            <w:pPr>
              <w:jc w:val="center"/>
            </w:pPr>
            <w:r>
              <w:t>2</w:t>
            </w:r>
          </w:p>
        </w:tc>
      </w:tr>
      <w:tr w:rsidR="00241B5C" w14:paraId="70E9897D" w14:textId="77777777" w:rsidTr="004C4CD0">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79" w14:textId="7FCF7A3F" w:rsidR="00241B5C" w:rsidRDefault="00241B5C" w:rsidP="00241B5C">
            <w:r>
              <w:t>Handling Overplotting</w:t>
            </w:r>
          </w:p>
        </w:tc>
        <w:tc>
          <w:tcPr>
            <w:tcW w:w="342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A" w14:textId="530A65B5" w:rsidR="00241B5C" w:rsidRDefault="00241B5C" w:rsidP="00241B5C">
            <w:r>
              <w:t>Overplotting, transparency, jittering</w:t>
            </w:r>
          </w:p>
        </w:tc>
        <w:tc>
          <w:tcPr>
            <w:tcW w:w="137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B" w14:textId="2239BC51" w:rsidR="00241B5C" w:rsidRDefault="00241B5C" w:rsidP="00241B5C">
            <w:pPr>
              <w:jc w:val="center"/>
            </w:pPr>
            <w:r>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7C" w14:textId="6713DE56" w:rsidR="00241B5C" w:rsidRDefault="00241B5C" w:rsidP="00241B5C">
            <w:pPr>
              <w:jc w:val="center"/>
            </w:pPr>
            <w:r>
              <w:t>3</w:t>
            </w:r>
          </w:p>
        </w:tc>
      </w:tr>
      <w:tr w:rsidR="00241B5C" w14:paraId="70E98982" w14:textId="77777777" w:rsidTr="004C4CD0">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E9897E" w14:textId="04A8A3C2" w:rsidR="00241B5C" w:rsidRDefault="00241B5C" w:rsidP="00241B5C">
            <w:r>
              <w:t>Common Pitfalls in Visualization</w:t>
            </w:r>
          </w:p>
        </w:tc>
        <w:tc>
          <w:tcPr>
            <w:tcW w:w="3428"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0E9897F" w14:textId="7052B417" w:rsidR="00241B5C" w:rsidRDefault="00241B5C" w:rsidP="00241B5C">
            <w:r>
              <w:t>Misuse of color, misleading axes, exaggerating uncertainty</w:t>
            </w:r>
          </w:p>
        </w:tc>
        <w:tc>
          <w:tcPr>
            <w:tcW w:w="137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80" w14:textId="6B3190D5" w:rsidR="00241B5C" w:rsidRDefault="00241B5C" w:rsidP="00241B5C">
            <w:pPr>
              <w:jc w:val="center"/>
            </w:pPr>
            <w:r>
              <w:t>4</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81" w14:textId="56F5306C" w:rsidR="00241B5C" w:rsidRDefault="00241B5C" w:rsidP="00241B5C">
            <w:pPr>
              <w:jc w:val="center"/>
            </w:pPr>
            <w:r>
              <w:t>4</w:t>
            </w:r>
          </w:p>
        </w:tc>
      </w:tr>
      <w:tr w:rsidR="00241B5C" w14:paraId="70E98987" w14:textId="77777777" w:rsidTr="004C4CD0">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983" w14:textId="624B9863" w:rsidR="00241B5C" w:rsidRDefault="00241B5C" w:rsidP="00241B5C">
            <w:r>
              <w:t>Accessibility &amp; Uncertainty Design</w:t>
            </w:r>
          </w:p>
        </w:tc>
        <w:tc>
          <w:tcPr>
            <w:tcW w:w="342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84" w14:textId="774D5E68" w:rsidR="00241B5C" w:rsidRDefault="00241B5C" w:rsidP="00241B5C">
            <w:r>
              <w:t>Accessibility and uncertainty visualization methods</w:t>
            </w:r>
          </w:p>
        </w:tc>
        <w:tc>
          <w:tcPr>
            <w:tcW w:w="137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85" w14:textId="1DCC3066" w:rsidR="00241B5C" w:rsidRDefault="00241B5C" w:rsidP="00241B5C">
            <w:pPr>
              <w:jc w:val="center"/>
            </w:pPr>
            <w: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86" w14:textId="126F5852" w:rsidR="00241B5C" w:rsidRDefault="00241B5C" w:rsidP="00241B5C">
            <w:pPr>
              <w:jc w:val="center"/>
            </w:pPr>
            <w:r>
              <w:t>2</w:t>
            </w:r>
          </w:p>
        </w:tc>
      </w:tr>
      <w:tr w:rsidR="00241B5C" w14:paraId="70E9898C" w14:textId="77777777" w:rsidTr="004C4CD0">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E98988" w14:textId="7E95BDF1" w:rsidR="00241B5C" w:rsidRDefault="00241B5C" w:rsidP="00241B5C">
            <w:r>
              <w:t>Advanced Uncertainty Visualization</w:t>
            </w:r>
          </w:p>
        </w:tc>
        <w:tc>
          <w:tcPr>
            <w:tcW w:w="3428"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0E98989" w14:textId="36674E85" w:rsidR="00241B5C" w:rsidRDefault="00241B5C" w:rsidP="00241B5C">
            <w:r>
              <w:t>Probability distributions, combined uncertainty plots, animated/static visualization, interactive techniques</w:t>
            </w:r>
          </w:p>
        </w:tc>
        <w:tc>
          <w:tcPr>
            <w:tcW w:w="137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8A" w14:textId="012158EC" w:rsidR="00241B5C" w:rsidRDefault="00241B5C" w:rsidP="00241B5C">
            <w:pPr>
              <w:jc w:val="center"/>
            </w:pPr>
            <w:r>
              <w:t>4</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98B" w14:textId="489E7E20" w:rsidR="00241B5C" w:rsidRDefault="00241B5C" w:rsidP="00241B5C">
            <w:pPr>
              <w:jc w:val="center"/>
            </w:pPr>
            <w:r>
              <w:t>4</w:t>
            </w:r>
          </w:p>
        </w:tc>
      </w:tr>
      <w:tr w:rsidR="00C77BBA" w14:paraId="70E989A3" w14:textId="77777777" w:rsidTr="004C4CD0">
        <w:tc>
          <w:tcPr>
            <w:tcW w:w="7508"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70E989A1" w14:textId="77777777" w:rsidR="00C77BBA" w:rsidRDefault="008A7FDF">
            <w:pPr>
              <w:jc w:val="right"/>
            </w:pPr>
            <w:r>
              <w:rPr>
                <w:b/>
                <w:bCs/>
                <w:color w:val="FFFFFF"/>
              </w:rPr>
              <w:t>GRAND TOTAL:</w:t>
            </w:r>
          </w:p>
        </w:tc>
        <w:tc>
          <w:tcPr>
            <w:tcW w:w="2572"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70E989A2" w14:textId="0B4AB552" w:rsidR="00C77BBA" w:rsidRDefault="00241B5C">
            <w:pPr>
              <w:jc w:val="center"/>
            </w:pPr>
            <w:r>
              <w:rPr>
                <w:b/>
                <w:bCs/>
                <w:color w:val="FFFFFF"/>
                <w:sz w:val="22"/>
                <w:szCs w:val="22"/>
              </w:rPr>
              <w:t>2</w:t>
            </w:r>
            <w:r w:rsidR="008A7FDF">
              <w:rPr>
                <w:b/>
                <w:bCs/>
                <w:color w:val="FFFFFF"/>
                <w:sz w:val="22"/>
                <w:szCs w:val="22"/>
              </w:rPr>
              <w:t>0 Marks</w:t>
            </w:r>
          </w:p>
        </w:tc>
      </w:tr>
    </w:tbl>
    <w:tb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tblStyle w:val="a3"/>
        <w:tblW w:w="109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7"/>
        <w:gridCol w:w="803"/>
        <w:gridCol w:w="1422"/>
        <w:gridCol w:w="1422"/>
        <w:gridCol w:w="1545"/>
        <w:gridCol w:w="1843"/>
        <w:gridCol w:w="878"/>
        <w:gridCol w:w="1422"/>
      </w:tblGrid>
      <w:tr w:rsidR="00127416" w14:paraId="70E98C25" w14:textId="2ED92261" w:rsidTr="00127416">
        <w:trPr>
          <w:trHeight w:val="217"/>
        </w:trPr>
        <w:tc>
          <w:tcPr>
            <w:tcW w:w="160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C1F" w14:textId="55117969" w:rsidR="00127416" w:rsidRPr="00127416" w:rsidRDefault="00127416" w:rsidP="007740F1">
            <w:pPr>
              <w:jc w:val="center"/>
            </w:pPr>
            <w:r w:rsidRPr="00127416">
              <w:rPr>
                <w:b/>
                <w:bCs/>
              </w:rPr>
              <w:t>Criteria</w:t>
            </w:r>
          </w:p>
        </w:tc>
        <w:tc>
          <w:tcPr>
            <w:tcW w:w="80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C20" w14:textId="1A6B94CD" w:rsidR="00127416" w:rsidRPr="00127416" w:rsidRDefault="00127416" w:rsidP="007740F1">
            <w:pPr>
              <w:jc w:val="center"/>
            </w:pPr>
            <w:r w:rsidRPr="00127416">
              <w:rPr>
                <w:b/>
                <w:bCs/>
              </w:rPr>
              <w:t>Weightage</w:t>
            </w:r>
          </w:p>
        </w:tc>
        <w:tc>
          <w:tcPr>
            <w:tcW w:w="142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C21" w14:textId="2C384647" w:rsidR="00127416" w:rsidRPr="00127416" w:rsidRDefault="00127416" w:rsidP="007740F1">
            <w:pPr>
              <w:jc w:val="center"/>
            </w:pPr>
            <w:r w:rsidRPr="00127416">
              <w:rPr>
                <w:b/>
                <w:bCs/>
              </w:rPr>
              <w:t>Level 4 – Exemplary (1 Mark)</w:t>
            </w:r>
          </w:p>
        </w:tc>
        <w:tc>
          <w:tcPr>
            <w:tcW w:w="142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C22" w14:textId="05ECE86A" w:rsidR="00127416" w:rsidRPr="00127416" w:rsidRDefault="00127416" w:rsidP="007740F1">
            <w:pPr>
              <w:jc w:val="center"/>
            </w:pPr>
            <w:r w:rsidRPr="00127416">
              <w:rPr>
                <w:b/>
                <w:bCs/>
              </w:rPr>
              <w:t>Level 3 – Proficient (0.75 Mark)</w:t>
            </w:r>
          </w:p>
        </w:tc>
        <w:tc>
          <w:tcPr>
            <w:tcW w:w="15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C23" w14:textId="6C9CDD15" w:rsidR="00127416" w:rsidRPr="00127416" w:rsidRDefault="00127416" w:rsidP="007740F1">
            <w:pPr>
              <w:jc w:val="center"/>
            </w:pPr>
            <w:r w:rsidRPr="00127416">
              <w:rPr>
                <w:b/>
                <w:bCs/>
              </w:rPr>
              <w:t>Level 2 – Developing (0.5 Mark)</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E98C24" w14:textId="58DA5FC5" w:rsidR="00127416" w:rsidRPr="00127416" w:rsidRDefault="00127416" w:rsidP="007740F1">
            <w:pPr>
              <w:jc w:val="center"/>
            </w:pPr>
            <w:r w:rsidRPr="00127416">
              <w:rPr>
                <w:b/>
                <w:bCs/>
              </w:rPr>
              <w:t>Level 1 – Beginning (0–0.25 Mark)</w:t>
            </w:r>
          </w:p>
        </w:tc>
        <w:tc>
          <w:tcPr>
            <w:tcW w:w="2300" w:type="dxa"/>
            <w:gridSpan w:val="2"/>
            <w:tcBorders>
              <w:top w:val="single" w:sz="4" w:space="0" w:color="1F4E79"/>
              <w:left w:val="single" w:sz="4" w:space="0" w:color="1F4E79"/>
              <w:bottom w:val="single" w:sz="4" w:space="0" w:color="1F4E79"/>
              <w:right w:val="single" w:sz="4" w:space="0" w:color="1F4E79"/>
            </w:tcBorders>
            <w:shd w:val="clear" w:color="auto" w:fill="1F4E79"/>
          </w:tcPr>
          <w:p w14:paraId="157C0AFF" w14:textId="77777777" w:rsidR="00127416" w:rsidRPr="00127416" w:rsidRDefault="00127416" w:rsidP="007740F1">
            <w:pPr>
              <w:jc w:val="center"/>
              <w:rPr>
                <w:b/>
                <w:bCs/>
              </w:rPr>
            </w:pPr>
          </w:p>
          <w:p w14:paraId="5B08A805" w14:textId="57E2DA4F" w:rsidR="00127416" w:rsidRPr="00127416" w:rsidRDefault="00127416" w:rsidP="007740F1">
            <w:pPr>
              <w:jc w:val="center"/>
            </w:pPr>
            <w:r w:rsidRPr="00127416">
              <w:rPr>
                <w:b/>
                <w:bCs/>
              </w:rPr>
              <w:t>Marks</w:t>
            </w:r>
          </w:p>
        </w:tc>
      </w:tr>
      <w:tr w:rsidR="007740F1" w14:paraId="70E98C2C" w14:textId="19C88404" w:rsidTr="00127416">
        <w:trPr>
          <w:trHeight w:val="210"/>
        </w:trPr>
        <w:tc>
          <w:tcPr>
            <w:tcW w:w="160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C26" w14:textId="5438A8C9" w:rsidR="007740F1" w:rsidRDefault="007740F1" w:rsidP="007740F1">
            <w:r>
              <w:t xml:space="preserve">Understanding of Concepts </w:t>
            </w:r>
          </w:p>
        </w:tc>
        <w:tc>
          <w:tcPr>
            <w:tcW w:w="80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E98C27" w14:textId="1CB004D5" w:rsidR="007740F1" w:rsidRDefault="007740F1" w:rsidP="007740F1">
            <w:pPr>
              <w:jc w:val="center"/>
            </w:pPr>
            <w:r>
              <w:t>50%</w:t>
            </w:r>
          </w:p>
        </w:tc>
        <w:tc>
          <w:tcPr>
            <w:tcW w:w="142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0E98C28" w14:textId="27B622BE" w:rsidR="007740F1" w:rsidRDefault="007740F1" w:rsidP="007740F1">
            <w:r>
              <w:t>Demonstrates thorough and accurate understanding of concepts</w:t>
            </w:r>
          </w:p>
        </w:tc>
        <w:tc>
          <w:tcPr>
            <w:tcW w:w="142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0E98C29" w14:textId="115F91D1" w:rsidR="007740F1" w:rsidRDefault="007740F1" w:rsidP="007740F1">
            <w:r>
              <w:t>Shows good understanding with minor errors</w:t>
            </w:r>
          </w:p>
        </w:tc>
        <w:tc>
          <w:tcPr>
            <w:tcW w:w="1545"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0E98C2A" w14:textId="1A69BAA5" w:rsidR="007740F1" w:rsidRDefault="007740F1" w:rsidP="007740F1">
            <w:r>
              <w:t>Basic understanding with limited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0E98C2B" w14:textId="652A1CDD" w:rsidR="007740F1" w:rsidRDefault="007740F1" w:rsidP="007740F1">
            <w:r>
              <w:t>Poor understanding or incorrect responses</w:t>
            </w:r>
          </w:p>
        </w:tc>
        <w:tc>
          <w:tcPr>
            <w:tcW w:w="878" w:type="dxa"/>
            <w:tcBorders>
              <w:top w:val="single" w:sz="4" w:space="0" w:color="9DC3E6"/>
              <w:left w:val="single" w:sz="4" w:space="0" w:color="9DC3E6"/>
              <w:bottom w:val="single" w:sz="4" w:space="0" w:color="9DC3E6"/>
              <w:right w:val="single" w:sz="4" w:space="0" w:color="9DC3E6"/>
            </w:tcBorders>
            <w:shd w:val="clear" w:color="auto" w:fill="FFF0F0"/>
          </w:tcPr>
          <w:p w14:paraId="35E34F3C" w14:textId="77777777" w:rsidR="007740F1" w:rsidRDefault="007740F1" w:rsidP="007740F1"/>
        </w:tc>
        <w:tc>
          <w:tcPr>
            <w:tcW w:w="1422"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3C7D5157" w14:textId="0AF4EF8C" w:rsidR="007740F1" w:rsidRDefault="007740F1" w:rsidP="007740F1"/>
        </w:tc>
      </w:tr>
      <w:tr w:rsidR="007740F1" w14:paraId="70E98C33" w14:textId="5DCC0CA7" w:rsidTr="00127416">
        <w:trPr>
          <w:trHeight w:val="210"/>
        </w:trPr>
        <w:tc>
          <w:tcPr>
            <w:tcW w:w="160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E98C2D" w14:textId="1BA22AB8" w:rsidR="007740F1" w:rsidRDefault="007740F1" w:rsidP="007740F1">
            <w:r>
              <w:t xml:space="preserve">Critical Thinking &amp; Response </w:t>
            </w:r>
          </w:p>
        </w:tc>
        <w:tc>
          <w:tcPr>
            <w:tcW w:w="80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C2E" w14:textId="374DA5EB" w:rsidR="007740F1" w:rsidRDefault="007740F1" w:rsidP="007740F1">
            <w:pPr>
              <w:jc w:val="center"/>
            </w:pPr>
            <w:r>
              <w:t>50%</w:t>
            </w:r>
          </w:p>
        </w:tc>
        <w:tc>
          <w:tcPr>
            <w:tcW w:w="142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0E98C2F" w14:textId="38E2F061" w:rsidR="007740F1" w:rsidRDefault="007740F1" w:rsidP="007740F1">
            <w:r>
              <w:t>Provides logical, confident, and well-structured responses</w:t>
            </w:r>
          </w:p>
        </w:tc>
        <w:tc>
          <w:tcPr>
            <w:tcW w:w="142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0E98C30" w14:textId="752C8211" w:rsidR="007740F1" w:rsidRDefault="007740F1" w:rsidP="007740F1">
            <w:r>
              <w:t>Gives relevant responses with minor gaps</w:t>
            </w:r>
          </w:p>
        </w:tc>
        <w:tc>
          <w:tcPr>
            <w:tcW w:w="1545"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0E98C31" w14:textId="4786B54B" w:rsidR="007740F1" w:rsidRDefault="007740F1" w:rsidP="007740F1">
            <w:r>
              <w:t>Responses are partially correct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0E98C32" w14:textId="15E5E679" w:rsidR="007740F1" w:rsidRDefault="007740F1" w:rsidP="007740F1">
            <w:r>
              <w:t>Unable to analyse or respond effectively</w:t>
            </w:r>
          </w:p>
        </w:tc>
        <w:tc>
          <w:tcPr>
            <w:tcW w:w="878" w:type="dxa"/>
            <w:tcBorders>
              <w:top w:val="single" w:sz="4" w:space="0" w:color="9DC3E6"/>
              <w:left w:val="single" w:sz="4" w:space="0" w:color="9DC3E6"/>
              <w:bottom w:val="single" w:sz="4" w:space="0" w:color="9DC3E6"/>
              <w:right w:val="single" w:sz="4" w:space="0" w:color="9DC3E6"/>
            </w:tcBorders>
            <w:shd w:val="clear" w:color="auto" w:fill="FFF0F0"/>
          </w:tcPr>
          <w:p w14:paraId="412512C6" w14:textId="77777777" w:rsidR="007740F1" w:rsidRDefault="007740F1" w:rsidP="007740F1"/>
        </w:tc>
        <w:tc>
          <w:tcPr>
            <w:tcW w:w="1422"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80E50CF" w14:textId="71968262" w:rsidR="007740F1" w:rsidRDefault="007740F1" w:rsidP="007740F1"/>
        </w:tc>
      </w:tr>
    </w:tbl>
    <w:tb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C77BBA" w14:paraId="70E98C38"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C35" w14:textId="77777777" w:rsidR="00C77BBA" w:rsidRDefault="008A7FD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C36" w14:textId="77777777" w:rsidR="00C77BBA" w:rsidRDefault="008A7FD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E98C37" w14:textId="77777777" w:rsidR="00C77BBA" w:rsidRDefault="008A7FDF">
            <w:r>
              <w:rPr>
                <w:b/>
                <w:bCs/>
                <w:color w:val="1F4E79"/>
                <w:sz w:val="18"/>
                <w:szCs w:val="18"/>
              </w:rPr>
              <w:t>Head of Department</w:t>
            </w:r>
          </w:p>
        </w:tc>
      </w:tr>
      <w:tr w:rsidR="00C77BBA" w14:paraId="70E98C3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39" w14:textId="77777777" w:rsidR="00C77BBA" w:rsidRDefault="00C77BB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3A" w14:textId="77777777" w:rsidR="00C77BBA" w:rsidRDefault="00C77BB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3B" w14:textId="77777777" w:rsidR="00C77BBA" w:rsidRDefault="00C77BBA"/>
        </w:tc>
      </w:tr>
      <w:tr w:rsidR="00C77BBA" w14:paraId="70E98C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3D" w14:textId="77777777" w:rsidR="00C77BBA" w:rsidRDefault="008A7FD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3E" w14:textId="77777777" w:rsidR="00C77BBA" w:rsidRDefault="008A7FD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3F" w14:textId="77777777" w:rsidR="00C77BBA" w:rsidRDefault="008A7FDF">
            <w:pPr>
              <w:jc w:val="center"/>
            </w:pPr>
            <w:r>
              <w:rPr>
                <w:sz w:val="18"/>
                <w:szCs w:val="18"/>
              </w:rPr>
              <w:t>Signature: _______________</w:t>
            </w:r>
          </w:p>
        </w:tc>
      </w:tr>
      <w:tr w:rsidR="00C77BBA" w14:paraId="70E98C4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41" w14:textId="77777777" w:rsidR="00C77BBA" w:rsidRDefault="008A7FD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42" w14:textId="77777777" w:rsidR="00C77BBA" w:rsidRDefault="008A7FD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E98C43" w14:textId="77777777" w:rsidR="00C77BBA" w:rsidRDefault="008A7FDF">
            <w:pPr>
              <w:jc w:val="center"/>
            </w:pPr>
            <w:r>
              <w:rPr>
                <w:sz w:val="18"/>
                <w:szCs w:val="18"/>
              </w:rPr>
              <w:t>Date: ___________________</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