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jc w:val="center"/>
      </w:pPr>
      <w:r>
        <w:drawing>
          <wp:inline xmlns:a="http://schemas.openxmlformats.org/drawingml/2006/main" xmlns:pic="http://schemas.openxmlformats.org/drawingml/2006/picture">
            <wp:extent cx="5669280" cy="726960"/>
            <wp:docPr id="1" name="Picture 1"/>
            <wp:cNvGraphicFramePr>
              <a:graphicFrameLocks noChangeAspect="1"/>
            </wp:cNvGraphicFramePr>
            <a:graphic>
              <a:graphicData uri="http://schemas.openxmlformats.org/drawingml/2006/picture">
                <pic:pic>
                  <pic:nvPicPr>
                    <pic:cNvPr id="0" name="image1.png"/>
                    <pic:cNvPicPr/>
                  </pic:nvPicPr>
                  <pic:blipFill>
                    <a:blip r:embed="rId9"/>
                    <a:stretch>
                      <a:fillRect/>
                    </a:stretch>
                  </pic:blipFill>
                  <pic:spPr>
                    <a:xfrm>
                      <a:off x="0" y="0"/>
                      <a:ext cx="5669280" cy="726960"/>
                    </a:xfrm>
                    <a:prstGeom prst="rect"/>
                  </pic:spPr>
                </pic:pic>
              </a:graphicData>
            </a:graphic>
          </wp:inline>
        </w:drawing>
      </w:r>
    </w:p>
    <w:p>
      <w:pPr>
        <w:spacing w:before="280" w:after="120"/>
        <w:jc w:val="center"/>
      </w:pPr>
      <w:r>
        <w:rPr>
          <w:rFonts w:ascii="Times New Roman" w:hAnsi="Times New Roman"/>
          <w:b/>
          <w:color w:val="163A5F"/>
          <w:sz w:val="32"/>
        </w:rPr>
        <w:t>PULSE CORE: REAL-TIME ADAPTIVE QUERY PROCESSING, COST-BASED OPTIMIZATION, AND PREDICTIVE CLINICAL ANALYTICS PLATFORM FOR HEALTHCARE OPERATIONS</w:t>
      </w:r>
    </w:p>
    <w:p>
      <w:pPr>
        <w:spacing w:before="120" w:after="280"/>
        <w:jc w:val="center"/>
      </w:pPr>
      <w:r>
        <w:rPr>
          <w:rFonts w:ascii="Times New Roman" w:hAnsi="Times New Roman"/>
          <w:b/>
          <w:color w:val="0E7490"/>
          <w:sz w:val="26"/>
        </w:rPr>
        <w:t>A CAPSTONE PROJECT REPORT</w:t>
      </w:r>
    </w:p>
    <w:p>
      <w:pPr>
        <w:spacing w:before="80" w:after="40"/>
        <w:jc w:val="center"/>
      </w:pPr>
      <w:r>
        <w:rPr>
          <w:rFonts w:ascii="Times New Roman" w:hAnsi="Times New Roman"/>
          <w:sz w:val="24"/>
        </w:rPr>
        <w:t>Submitted in partial fulfilment for the Course of</w:t>
      </w:r>
    </w:p>
    <w:p>
      <w:pPr>
        <w:spacing w:before="40" w:after="200"/>
        <w:jc w:val="center"/>
      </w:pPr>
      <w:r>
        <w:rPr>
          <w:rFonts w:ascii="Times New Roman" w:hAnsi="Times New Roman"/>
          <w:b/>
          <w:color w:val="163A5F"/>
          <w:sz w:val="28"/>
        </w:rPr>
        <w:t>DSA0501 – Query Processing using Data Analysis</w:t>
      </w:r>
    </w:p>
    <w:p>
      <w:pPr>
        <w:spacing w:before="40" w:after="240"/>
        <w:jc w:val="center"/>
      </w:pPr>
      <w:r>
        <w:rPr>
          <w:rFonts w:ascii="Times New Roman" w:hAnsi="Times New Roman"/>
          <w:b/>
          <w:sz w:val="24"/>
        </w:rPr>
        <w:t>for the award of the degree of</w:t>
        <w:br/>
        <w:t>BACHELOR OF TECHNOLOGY IN</w:t>
        <w:br/>
        <w:t>ARTIFICIAL INTELLIGENCE AND DATA SCIENCE</w:t>
      </w:r>
    </w:p>
    <w:p>
      <w:pPr>
        <w:spacing w:before="80" w:after="80"/>
        <w:jc w:val="center"/>
      </w:pPr>
      <w:r>
        <w:rPr>
          <w:rFonts w:ascii="Times New Roman" w:hAnsi="Times New Roman"/>
          <w:i/>
          <w:sz w:val="24"/>
        </w:rPr>
        <w:t>Submitted by</w:t>
      </w:r>
    </w:p>
    <w:p>
      <w:pPr>
        <w:spacing w:before="40" w:after="320"/>
        <w:jc w:val="center"/>
      </w:pPr>
      <w:r>
        <w:rPr>
          <w:rFonts w:ascii="Times New Roman" w:hAnsi="Times New Roman"/>
          <w:b/>
          <w:color w:val="163A5F"/>
          <w:sz w:val="25"/>
        </w:rPr>
        <w:t>G.Md. Muzammil (192424279)</w:t>
        <w:br/>
        <w:t>Sai Teja (192424034)</w:t>
        <w:br/>
        <w:t>Navadeep (192424565)</w:t>
      </w:r>
    </w:p>
    <w:p>
      <w:pPr>
        <w:spacing w:before="80" w:after="40"/>
        <w:jc w:val="center"/>
      </w:pPr>
      <w:r>
        <w:rPr>
          <w:rFonts w:ascii="Times New Roman" w:hAnsi="Times New Roman"/>
          <w:sz w:val="24"/>
        </w:rPr>
        <w:t>Under the Supervision of</w:t>
        <w:br/>
      </w:r>
      <w:r>
        <w:rPr>
          <w:rFonts w:ascii="Times New Roman" w:hAnsi="Times New Roman"/>
          <w:b/>
          <w:sz w:val="24"/>
        </w:rPr>
        <w:t>Course Faculty &amp; Project Coordinator</w:t>
      </w:r>
    </w:p>
    <w:p>
      <w:pPr>
        <w:spacing w:before="320" w:after="0"/>
        <w:jc w:val="center"/>
      </w:pPr>
      <w:r>
        <w:rPr>
          <w:rFonts w:ascii="Times New Roman" w:hAnsi="Times New Roman"/>
          <w:b/>
          <w:sz w:val="23"/>
        </w:rPr>
        <w:t>DEPARTMENT OF ARTIFICIAL INTELLIGENCE AND DATA SCIENCE</w:t>
        <w:br/>
        <w:t>SIMATS ENGINEERING</w:t>
        <w:br/>
        <w:t>Saveetha Institute of Medical and Technical Sciences</w:t>
        <w:br/>
        <w:t>Chennai - 602105, Tamil Nadu, India</w:t>
        <w:br/>
        <w:t>August 2026</w:t>
      </w:r>
    </w:p>
    <w:p>
      <w:r>
        <w:br w:type="page"/>
      </w:r>
    </w:p>
    <w:p>
      <w:pPr>
        <w:spacing w:before="0" w:after="160"/>
        <w:jc w:val="center"/>
      </w:pPr>
      <w:r>
        <w:drawing>
          <wp:inline xmlns:a="http://schemas.openxmlformats.org/drawingml/2006/main" xmlns:pic="http://schemas.openxmlformats.org/drawingml/2006/picture">
            <wp:extent cx="5669280" cy="726960"/>
            <wp:docPr id="2" name="Picture 2"/>
            <wp:cNvGraphicFramePr>
              <a:graphicFrameLocks noChangeAspect="1"/>
            </wp:cNvGraphicFramePr>
            <a:graphic>
              <a:graphicData uri="http://schemas.openxmlformats.org/drawingml/2006/picture">
                <pic:pic>
                  <pic:nvPicPr>
                    <pic:cNvPr id="0" name="image1.png"/>
                    <pic:cNvPicPr/>
                  </pic:nvPicPr>
                  <pic:blipFill>
                    <a:blip r:embed="rId9"/>
                    <a:stretch>
                      <a:fillRect/>
                    </a:stretch>
                  </pic:blipFill>
                  <pic:spPr>
                    <a:xfrm>
                      <a:off x="0" y="0"/>
                      <a:ext cx="5669280" cy="726960"/>
                    </a:xfrm>
                    <a:prstGeom prst="rect"/>
                  </pic:spPr>
                </pic:pic>
              </a:graphicData>
            </a:graphic>
          </wp:inline>
        </w:drawing>
      </w:r>
    </w:p>
    <w:p>
      <w:pPr>
        <w:spacing w:before="280" w:after="280"/>
        <w:jc w:val="center"/>
      </w:pPr>
      <w:r>
        <w:rPr>
          <w:rFonts w:ascii="Times New Roman" w:hAnsi="Times New Roman"/>
          <w:b/>
          <w:color w:val="163A5F"/>
          <w:sz w:val="28"/>
        </w:rPr>
        <w:t>DECLARATION</w:t>
      </w:r>
    </w:p>
    <w:p>
      <w:pPr>
        <w:spacing w:before="0" w:after="240" w:line="276" w:lineRule="auto"/>
        <w:jc w:val="both"/>
      </w:pPr>
      <w:r>
        <w:rPr>
          <w:rFonts w:ascii="Times New Roman" w:hAnsi="Times New Roman"/>
          <w:color w:val="0F172A"/>
          <w:sz w:val="22"/>
        </w:rPr>
        <w:t>We, G.Md. Muzammil (192424279), Sai Teja (192424034), and Navadeep (192424565), students of Bachelor of Technology in Artificial Intelligence and Data Science at SIMATS Engineering, Saveetha Institute of Medical and Technical Sciences, Chennai-602105, hereby declare that the capstone project report entitled "PULSE CORE: REAL-TIME ADAPTIVE QUERY PROCESSING, COST-BASED OPTIMIZATION, AND PREDICTIVE CLINICAL ANALYTICS PLATFORM FOR HEALTHCARE OPERATIONS" submitted in partial fulfillment of the requirements for the course DSA0501 – Query Processing using Data Analysis is a bonafide record of original work carried out by us under the supervision and guidance of our project coordinator.</w:t>
      </w:r>
    </w:p>
    <w:p>
      <w:pPr>
        <w:spacing w:before="0" w:after="600" w:line="276" w:lineRule="auto"/>
        <w:jc w:val="both"/>
      </w:pPr>
      <w:r>
        <w:rPr>
          <w:rFonts w:ascii="Times New Roman" w:hAnsi="Times New Roman"/>
          <w:color w:val="0F172A"/>
          <w:sz w:val="22"/>
        </w:rPr>
        <w:t>We further declare that the matter embodied in this report has not been submitted in part or full to any other University or Institution for the award of any degree or diploma. All literature, tools, and libraries utilized during the development of this platform have been properly cited and acknowledged in the references section.</w:t>
      </w:r>
    </w:p>
    <w:p>
      <w:pPr>
        <w:spacing w:after="800"/>
      </w:pPr>
      <w:r>
        <w:rPr>
          <w:rFonts w:ascii="Times New Roman" w:hAnsi="Times New Roman"/>
          <w:sz w:val="22"/>
        </w:rPr>
        <w:t>Place: Chennai - 602105</w:t>
        <w:br/>
        <w:t>Date: 31st August 2026</w:t>
      </w:r>
    </w:p>
    <w:p>
      <w:pPr>
        <w:jc w:val="right"/>
      </w:pPr>
      <w:r>
        <w:rPr>
          <w:rFonts w:ascii="Times New Roman" w:hAnsi="Times New Roman"/>
          <w:b/>
          <w:sz w:val="22"/>
        </w:rPr>
        <w:t>1. G.Md. Muzammil (192424279)</w:t>
        <w:br/>
        <w:t>2. Sai Teja (192424034)</w:t>
        <w:br/>
        <w:t>3. Navadeep (192424565)</w:t>
        <w:br/>
        <w:t>(Signatures of the Candidates)</w:t>
      </w:r>
    </w:p>
    <w:p>
      <w:r>
        <w:br w:type="page"/>
      </w:r>
    </w:p>
    <w:p>
      <w:pPr>
        <w:spacing w:before="0" w:after="160"/>
        <w:jc w:val="center"/>
      </w:pPr>
      <w:r>
        <w:drawing>
          <wp:inline xmlns:a="http://schemas.openxmlformats.org/drawingml/2006/main" xmlns:pic="http://schemas.openxmlformats.org/drawingml/2006/picture">
            <wp:extent cx="5669280" cy="726960"/>
            <wp:docPr id="3" name="Picture 3"/>
            <wp:cNvGraphicFramePr>
              <a:graphicFrameLocks noChangeAspect="1"/>
            </wp:cNvGraphicFramePr>
            <a:graphic>
              <a:graphicData uri="http://schemas.openxmlformats.org/drawingml/2006/picture">
                <pic:pic>
                  <pic:nvPicPr>
                    <pic:cNvPr id="0" name="image1.png"/>
                    <pic:cNvPicPr/>
                  </pic:nvPicPr>
                  <pic:blipFill>
                    <a:blip r:embed="rId9"/>
                    <a:stretch>
                      <a:fillRect/>
                    </a:stretch>
                  </pic:blipFill>
                  <pic:spPr>
                    <a:xfrm>
                      <a:off x="0" y="0"/>
                      <a:ext cx="5669280" cy="726960"/>
                    </a:xfrm>
                    <a:prstGeom prst="rect"/>
                  </pic:spPr>
                </pic:pic>
              </a:graphicData>
            </a:graphic>
          </wp:inline>
        </w:drawing>
      </w:r>
    </w:p>
    <w:p>
      <w:pPr>
        <w:spacing w:before="280" w:after="280"/>
        <w:jc w:val="center"/>
      </w:pPr>
      <w:r>
        <w:rPr>
          <w:rFonts w:ascii="Times New Roman" w:hAnsi="Times New Roman"/>
          <w:b/>
          <w:color w:val="163A5F"/>
          <w:sz w:val="28"/>
        </w:rPr>
        <w:t>BONAFIDE CERTIFICATE</w:t>
      </w:r>
    </w:p>
    <w:p>
      <w:pPr>
        <w:spacing w:before="0" w:after="800" w:line="276" w:lineRule="auto"/>
        <w:jc w:val="both"/>
      </w:pPr>
      <w:r>
        <w:rPr>
          <w:rFonts w:ascii="Times New Roman" w:hAnsi="Times New Roman"/>
          <w:color w:val="0F172A"/>
          <w:sz w:val="22"/>
        </w:rPr>
        <w:t>This is to certify that this capstone project report entitled "PULSE CORE: REAL-TIME ADAPTIVE QUERY PROCESSING, COST-BASED OPTIMIZATION, AND PREDICTIVE CLINICAL ANALYTICS PLATFORM FOR HEALTHCARE OPERATIONS" is the bonafide work of G.Md. Muzammil (192424279), Sai Teja (192424034), and Navadeep (192424565) who carried out the project work under my supervision in partial fulfillment of the requirements for the award of Bachelor of Technology in Artificial Intelligence and Data Science for the course DSA0501 – Query Processing using Data Analysis at SIMATS Engineering, Saveetha Institute of Medical and Technical Sciences, Chennai-602105.</w:t>
      </w:r>
    </w:p>
    <w:tbl>
      <w:tblPr>
        <w:tblW w:type="auto" w:w="0"/>
        <w:jc w:val="center"/>
        <w:tblLook w:firstColumn="1" w:firstRow="1" w:lastColumn="0" w:lastRow="0" w:noHBand="0" w:noVBand="1" w:val="04A0"/>
      </w:tblPr>
      <w:tblGrid>
        <w:gridCol w:w="4680"/>
        <w:gridCol w:w="4680"/>
      </w:tblGrid>
      <w:tr>
        <w:tc>
          <w:tcPr>
            <w:tcW w:type="dxa" w:w="4680"/>
          </w:tcPr>
          <w:p>
            <w:r>
              <w:rPr>
                <w:b/>
              </w:rPr>
              <w:t>SIGNATURE</w:t>
              <w:br/>
              <w:t>PROJECT SUPERVISOR / GUIDE</w:t>
              <w:br/>
              <w:t>Department of AI &amp; DS</w:t>
              <w:br/>
              <w:t>SIMATS Engineering</w:t>
            </w:r>
          </w:p>
        </w:tc>
        <w:tc>
          <w:tcPr>
            <w:tcW w:type="dxa" w:w="4680"/>
          </w:tcPr>
          <w:p>
            <w:pPr>
              <w:jc w:val="right"/>
            </w:pPr>
            <w:r>
              <w:rPr>
                <w:b/>
              </w:rPr>
              <w:t>SIGNATURE</w:t>
              <w:br/>
              <w:t>HEAD OF THE DEPARTMENT</w:t>
              <w:br/>
              <w:t>Department of AI &amp; DS</w:t>
              <w:br/>
              <w:t>SIMATS Engineering</w:t>
            </w:r>
          </w:p>
        </w:tc>
      </w:tr>
      <w:tr>
        <w:tc>
          <w:tcPr>
            <w:tcW w:type="dxa" w:w="4680"/>
          </w:tcPr>
          <w:p>
            <w:pPr>
              <w:spacing w:before="800"/>
            </w:pPr>
            <w:r>
              <w:rPr>
                <w:b/>
              </w:rPr>
              <w:t>INTERNAL EXAMINER</w:t>
            </w:r>
          </w:p>
        </w:tc>
        <w:tc>
          <w:tcPr>
            <w:tcW w:type="dxa" w:w="4680"/>
          </w:tcPr>
          <w:p>
            <w:pPr>
              <w:spacing w:before="800"/>
              <w:jc w:val="right"/>
            </w:pPr>
            <w:r>
              <w:rPr>
                <w:b/>
              </w:rPr>
              <w:t>EXTERNAL EXAMINER</w:t>
            </w:r>
          </w:p>
        </w:tc>
      </w:tr>
    </w:tbl>
    <w:p>
      <w:r>
        <w:br w:type="page"/>
      </w:r>
    </w:p>
    <w:p>
      <w:pPr>
        <w:spacing w:before="0" w:after="160"/>
        <w:jc w:val="center"/>
      </w:pPr>
      <w:r>
        <w:drawing>
          <wp:inline xmlns:a="http://schemas.openxmlformats.org/drawingml/2006/main" xmlns:pic="http://schemas.openxmlformats.org/drawingml/2006/picture">
            <wp:extent cx="5669280" cy="726960"/>
            <wp:docPr id="4" name="Picture 4"/>
            <wp:cNvGraphicFramePr>
              <a:graphicFrameLocks noChangeAspect="1"/>
            </wp:cNvGraphicFramePr>
            <a:graphic>
              <a:graphicData uri="http://schemas.openxmlformats.org/drawingml/2006/picture">
                <pic:pic>
                  <pic:nvPicPr>
                    <pic:cNvPr id="0" name="image1.png"/>
                    <pic:cNvPicPr/>
                  </pic:nvPicPr>
                  <pic:blipFill>
                    <a:blip r:embed="rId9"/>
                    <a:stretch>
                      <a:fillRect/>
                    </a:stretch>
                  </pic:blipFill>
                  <pic:spPr>
                    <a:xfrm>
                      <a:off x="0" y="0"/>
                      <a:ext cx="5669280" cy="726960"/>
                    </a:xfrm>
                    <a:prstGeom prst="rect"/>
                  </pic:spPr>
                </pic:pic>
              </a:graphicData>
            </a:graphic>
          </wp:inline>
        </w:drawing>
      </w:r>
    </w:p>
    <w:p>
      <w:pPr>
        <w:spacing w:before="280" w:after="280"/>
        <w:jc w:val="center"/>
      </w:pPr>
      <w:r>
        <w:rPr>
          <w:rFonts w:ascii="Times New Roman" w:hAnsi="Times New Roman"/>
          <w:b/>
          <w:color w:val="163A5F"/>
          <w:sz w:val="28"/>
        </w:rPr>
        <w:t>ACKNOWLEDGEMENT</w:t>
      </w:r>
    </w:p>
    <w:p>
      <w:pPr>
        <w:spacing w:before="0" w:after="200" w:line="276" w:lineRule="auto"/>
        <w:jc w:val="both"/>
      </w:pPr>
      <w:r>
        <w:rPr>
          <w:rFonts w:ascii="Times New Roman" w:hAnsi="Times New Roman"/>
          <w:color w:val="0F172A"/>
          <w:sz w:val="22"/>
        </w:rPr>
        <w:t>We express our deep gratitude and heartfelt respect to our Honorable Founder Chancellor Dr. N. M. Veeraiyan and respected Vice-Chancellor of Saveetha Institute of Medical and Technical Sciences (SIMATS) for providing state-of-the-art computational infrastructure, high-performance computing clusters, and an inspiring academic ecosystem that enabled the successful design and execution of this Capstone Project.</w:t>
      </w:r>
    </w:p>
    <w:p>
      <w:pPr>
        <w:spacing w:before="0" w:after="200" w:line="276" w:lineRule="auto"/>
        <w:jc w:val="both"/>
      </w:pPr>
      <w:r>
        <w:rPr>
          <w:rFonts w:ascii="Times New Roman" w:hAnsi="Times New Roman"/>
          <w:color w:val="0F172A"/>
          <w:sz w:val="22"/>
        </w:rPr>
        <w:t>We are profoundly indebted to our beloved Principal and Head of the Department of Artificial Intelligence and Data Science for their constant encouragement, visionary leadership, and unwavering administrative support throughout the academic curriculum.</w:t>
      </w:r>
    </w:p>
    <w:p>
      <w:pPr>
        <w:spacing w:before="0" w:after="200" w:line="276" w:lineRule="auto"/>
        <w:jc w:val="both"/>
      </w:pPr>
      <w:r>
        <w:rPr>
          <w:rFonts w:ascii="Times New Roman" w:hAnsi="Times New Roman"/>
          <w:color w:val="0F172A"/>
          <w:sz w:val="22"/>
        </w:rPr>
        <w:t>We extend our sincere appreciation to our esteemed Course Faculty and Project Coordinator for DSA0501 – Query Processing using Data Analysis, whose profound technical guidance, insightful critiques on database execution plans, and constructive feedback on query optimization heuristics greatly refined our architectural approach.</w:t>
      </w:r>
    </w:p>
    <w:p>
      <w:pPr>
        <w:spacing w:before="0" w:after="500" w:line="276" w:lineRule="auto"/>
        <w:jc w:val="both"/>
      </w:pPr>
      <w:r>
        <w:rPr>
          <w:rFonts w:ascii="Times New Roman" w:hAnsi="Times New Roman"/>
          <w:color w:val="0F172A"/>
          <w:sz w:val="22"/>
        </w:rPr>
        <w:t>Finally, we thank our parents, peers, lab staff, and team colleagues whose cooperation, moral support, and collaborative spirit made the realization of PULSE CORE possible.</w:t>
      </w:r>
    </w:p>
    <w:p>
      <w:pPr>
        <w:jc w:val="right"/>
      </w:pPr>
      <w:r>
        <w:rPr>
          <w:rFonts w:ascii="Times New Roman" w:hAnsi="Times New Roman"/>
          <w:b/>
          <w:sz w:val="22"/>
        </w:rPr>
        <w:t>G.Md. Muzammil (192424279)</w:t>
        <w:br/>
        <w:t>Sai Teja (192424034)</w:t>
        <w:br/>
        <w:t>Navadeep (192424565)</w:t>
      </w:r>
    </w:p>
    <w:p>
      <w:r>
        <w:br w:type="page"/>
      </w:r>
    </w:p>
    <w:p>
      <w:pPr>
        <w:spacing w:before="0" w:after="160"/>
        <w:jc w:val="center"/>
      </w:pPr>
      <w:r>
        <w:drawing>
          <wp:inline xmlns:a="http://schemas.openxmlformats.org/drawingml/2006/main" xmlns:pic="http://schemas.openxmlformats.org/drawingml/2006/picture">
            <wp:extent cx="5669280" cy="726960"/>
            <wp:docPr id="5" name="Picture 5"/>
            <wp:cNvGraphicFramePr>
              <a:graphicFrameLocks noChangeAspect="1"/>
            </wp:cNvGraphicFramePr>
            <a:graphic>
              <a:graphicData uri="http://schemas.openxmlformats.org/drawingml/2006/picture">
                <pic:pic>
                  <pic:nvPicPr>
                    <pic:cNvPr id="0" name="image1.png"/>
                    <pic:cNvPicPr/>
                  </pic:nvPicPr>
                  <pic:blipFill>
                    <a:blip r:embed="rId9"/>
                    <a:stretch>
                      <a:fillRect/>
                    </a:stretch>
                  </pic:blipFill>
                  <pic:spPr>
                    <a:xfrm>
                      <a:off x="0" y="0"/>
                      <a:ext cx="5669280" cy="726960"/>
                    </a:xfrm>
                    <a:prstGeom prst="rect"/>
                  </pic:spPr>
                </pic:pic>
              </a:graphicData>
            </a:graphic>
          </wp:inline>
        </w:drawing>
      </w:r>
    </w:p>
    <w:p>
      <w:pPr>
        <w:spacing w:before="280" w:after="280"/>
        <w:jc w:val="center"/>
      </w:pPr>
      <w:r>
        <w:rPr>
          <w:rFonts w:ascii="Times New Roman" w:hAnsi="Times New Roman"/>
          <w:b/>
          <w:color w:val="163A5F"/>
          <w:sz w:val="28"/>
        </w:rPr>
        <w:t>ABSTRACT</w:t>
      </w:r>
    </w:p>
    <w:p>
      <w:pPr>
        <w:spacing w:before="0" w:after="200" w:line="276" w:lineRule="auto"/>
        <w:jc w:val="both"/>
      </w:pPr>
      <w:r>
        <w:rPr>
          <w:rFonts w:ascii="Times New Roman" w:hAnsi="Times New Roman"/>
          <w:color w:val="0F172A"/>
          <w:sz w:val="22"/>
        </w:rPr>
        <w:t>Modern hospital information systems (HIS) and Electronic Health Record (EHR) repositories generate high-velocity, multidimensional clinical datasets comprising physiological telemetry, longitudinal patient encounters, diagnostic laboratory panels, and pharmacy orders. However, ad-hoc analytical queries executed by healthcare clinicians and epidemiologists frequently suffer from severe execution bottlenecks, CPU-intensive sequential scans, memory exhaustion during sort operations, and Cartesian product explosion across unindexed relational joins. Traditional database management systems rely on static cost estimators and manual Database Administrator (DBA) tuning, creating significant operational latency that impairs critical clinical decision support.</w:t>
      </w:r>
    </w:p>
    <w:p>
      <w:pPr>
        <w:spacing w:before="0" w:after="200" w:line="276" w:lineRule="auto"/>
        <w:jc w:val="both"/>
      </w:pPr>
      <w:r>
        <w:rPr>
          <w:rFonts w:ascii="Times New Roman" w:hAnsi="Times New Roman"/>
          <w:color w:val="0F172A"/>
          <w:sz w:val="22"/>
        </w:rPr>
        <w:t>To address these critical challenges, this Capstone Project presents PULSE CORE — a production-grade, full-stack Clinical Intelligence and Adaptive Query Processing Platform designed specifically for the course DSA0501: Query Processing using Data Analysis. PULSE CORE introduces an end-to-end intelligent data analytics architecture featuring four foundational pillars: (1) An Abstract Syntax Tree (AST) query parsing and security validation engine built on SQLGlot that strictly enforces single-statement read-only SELECT/CTE semantics, disallows unauthorized DDL/DML manipulations, and blocks dangerous PostgreSQL admin functions; (2) An Adaptive Query Optimization and Cost Decomposition Layer that extracts recursive PostgreSQL EXPLAIN (ANALYZE, BUFFERS, FORMAT JSON) execution plan trees, identifies contextual bottlenecks (such as high-selectivity sequential scans, unindexed foreign key joins, cardinality estimation skews, and wildcard projection overheads), and automatically synthesizes index creation DDL with multi-run A/B empirical benchmarking; (3) A Schema-Aware Natural Language to SQL AI Translation Assistant that bridges the semantic gap for non-technical clinical personnel; and (4) A 3-Model Predictive Clinical Machine Learning Pipeline (Logistic Regression, Random Forest, and Extreme Gradient Boosting / XGBoost) trained across 10 normalized physiological and operational features to predict 30-day patient readmission risk, extended length of stay, and sepsis deterioration.</w:t>
      </w:r>
    </w:p>
    <w:p>
      <w:pPr>
        <w:spacing w:before="0" w:after="200" w:line="276" w:lineRule="auto"/>
        <w:jc w:val="both"/>
      </w:pPr>
      <w:r>
        <w:rPr>
          <w:rFonts w:ascii="Times New Roman" w:hAnsi="Times New Roman"/>
          <w:color w:val="0F172A"/>
          <w:sz w:val="22"/>
        </w:rPr>
        <w:t>Comprehensive empirical benchmarking against a normalized PostgreSQL 16 schema containing 21 relational entities and over 5,000 synthetic patient records demonstrated that the Adaptive Optimizer achieves between 8.4x and 35.6x query speedups on complex multi-table joins, accompanied by a 98.4% reduction in shared disk buffer reads. The predictive XGBoost classifier achieved an outstanding 89.8% classification accuracy and 0.932 ROC-AUC score. The platform delivers these capabilities through an interactive React 18 / TypeScript single-page application featuring visual ReactFlow execution plan graphs, real-time WebSocket vital signs streaming (&lt;12 ms latency), role-based access control (RBAC), and HIPAA-aligned immutable security audit logging.</w:t>
      </w:r>
    </w:p>
    <w:p>
      <w:pPr>
        <w:spacing w:before="0" w:after="240" w:line="276" w:lineRule="auto"/>
        <w:jc w:val="both"/>
      </w:pPr>
      <w:r>
        <w:rPr>
          <w:rFonts w:ascii="Times New Roman" w:hAnsi="Times New Roman"/>
          <w:b/>
          <w:color w:val="0F172A"/>
          <w:sz w:val="22"/>
        </w:rPr>
        <w:t xml:space="preserve">Keywords: </w:t>
      </w:r>
      <w:r>
        <w:rPr>
          <w:rFonts w:ascii="Times New Roman" w:hAnsi="Times New Roman"/>
          <w:i/>
          <w:color w:val="0F172A"/>
          <w:sz w:val="22"/>
        </w:rPr>
        <w:t>Keywords: Query Processing, Cost-Based Optimization, Abstract Syntax Tree (AST), PostgreSQL EXPLAIN ANALYZE, A/B Performance Benchmarking, Clinical Machine Learning, XGBoost, Real-Time Telemetry, Healthcare Analytics.</w:t>
      </w:r>
    </w:p>
    <w:p>
      <w:r>
        <w:br w:type="page"/>
      </w:r>
    </w:p>
    <w:p>
      <w:pPr>
        <w:spacing w:before="0" w:after="160"/>
        <w:jc w:val="center"/>
      </w:pPr>
      <w:r>
        <w:drawing>
          <wp:inline xmlns:a="http://schemas.openxmlformats.org/drawingml/2006/main" xmlns:pic="http://schemas.openxmlformats.org/drawingml/2006/picture">
            <wp:extent cx="5669280" cy="726960"/>
            <wp:docPr id="6" name="Picture 6"/>
            <wp:cNvGraphicFramePr>
              <a:graphicFrameLocks noChangeAspect="1"/>
            </wp:cNvGraphicFramePr>
            <a:graphic>
              <a:graphicData uri="http://schemas.openxmlformats.org/drawingml/2006/picture">
                <pic:pic>
                  <pic:nvPicPr>
                    <pic:cNvPr id="0" name="image1.png"/>
                    <pic:cNvPicPr/>
                  </pic:nvPicPr>
                  <pic:blipFill>
                    <a:blip r:embed="rId9"/>
                    <a:stretch>
                      <a:fillRect/>
                    </a:stretch>
                  </pic:blipFill>
                  <pic:spPr>
                    <a:xfrm>
                      <a:off x="0" y="0"/>
                      <a:ext cx="5669280" cy="726960"/>
                    </a:xfrm>
                    <a:prstGeom prst="rect"/>
                  </pic:spPr>
                </pic:pic>
              </a:graphicData>
            </a:graphic>
          </wp:inline>
        </w:drawing>
      </w:r>
    </w:p>
    <w:p>
      <w:pPr>
        <w:spacing w:before="280" w:after="200"/>
        <w:jc w:val="center"/>
      </w:pPr>
      <w:r>
        <w:rPr>
          <w:rFonts w:ascii="Times New Roman" w:hAnsi="Times New Roman"/>
          <w:b/>
          <w:color w:val="163A5F"/>
          <w:sz w:val="28"/>
        </w:rPr>
        <w:t>TABLE OF CONTENTS</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CBD5E1"/>
          <w:insideV w:val="none"/>
          <w:left w:val="none"/>
          <w:right w:val="none"/>
        </w:tblBorders>
      </w:tblPr>
      <w:tblGrid>
        <w:gridCol w:w="3120"/>
        <w:gridCol w:w="3120"/>
        <w:gridCol w:w="3120"/>
      </w:tblGrid>
      <w:tr>
        <w:tc>
          <w:tcPr>
            <w:tcW w:type="dxa" w:w="2160"/>
            <w:shd w:fill="163A5F"/>
            <w:tcMar>
              <w:top w:w="120" w:type="dxa"/>
              <w:bottom w:w="120" w:type="dxa"/>
              <w:left w:w="120" w:type="dxa"/>
              <w:right w:w="120" w:type="dxa"/>
            </w:tcMar>
            <w:vAlign w:val="center"/>
          </w:tcPr>
          <w:p>
            <w:pPr>
              <w:spacing w:before="0" w:after="0"/>
              <w:jc w:val="center"/>
            </w:pPr>
            <w:r>
              <w:rPr>
                <w:rFonts w:ascii="Times New Roman" w:hAnsi="Times New Roman"/>
                <w:b/>
                <w:color w:val="FFFFFF"/>
                <w:sz w:val="19"/>
              </w:rPr>
              <w:t>Chapter / Section</w:t>
            </w:r>
          </w:p>
        </w:tc>
        <w:tc>
          <w:tcPr>
            <w:tcW w:type="dxa" w:w="6048"/>
            <w:shd w:fill="163A5F"/>
            <w:tcMar>
              <w:top w:w="120" w:type="dxa"/>
              <w:bottom w:w="120" w:type="dxa"/>
              <w:left w:w="120" w:type="dxa"/>
              <w:right w:w="120" w:type="dxa"/>
            </w:tcMar>
            <w:vAlign w:val="center"/>
          </w:tcPr>
          <w:p>
            <w:pPr>
              <w:spacing w:before="0" w:after="0"/>
              <w:jc w:val="center"/>
            </w:pPr>
            <w:r>
              <w:rPr>
                <w:rFonts w:ascii="Times New Roman" w:hAnsi="Times New Roman"/>
                <w:b/>
                <w:color w:val="FFFFFF"/>
                <w:sz w:val="19"/>
              </w:rPr>
              <w:t>Title</w:t>
            </w:r>
          </w:p>
        </w:tc>
        <w:tc>
          <w:tcPr>
            <w:tcW w:type="dxa" w:w="1152"/>
            <w:shd w:fill="163A5F"/>
            <w:tcMar>
              <w:top w:w="120" w:type="dxa"/>
              <w:bottom w:w="120" w:type="dxa"/>
              <w:left w:w="120" w:type="dxa"/>
              <w:right w:w="120" w:type="dxa"/>
            </w:tcMar>
            <w:vAlign w:val="center"/>
          </w:tcPr>
          <w:p>
            <w:pPr>
              <w:spacing w:before="0" w:after="0"/>
              <w:jc w:val="center"/>
            </w:pPr>
            <w:r>
              <w:rPr>
                <w:rFonts w:ascii="Times New Roman" w:hAnsi="Times New Roman"/>
                <w:b/>
                <w:color w:val="FFFFFF"/>
                <w:sz w:val="19"/>
              </w:rPr>
              <w:t>Page No.</w:t>
            </w:r>
          </w:p>
        </w:tc>
      </w:tr>
      <w:tr>
        <w:tc>
          <w:tcPr>
            <w:tcW w:type="dxa" w:w="2160"/>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r>
          </w:p>
        </w:tc>
        <w:tc>
          <w:tcPr>
            <w:tcW w:type="dxa" w:w="6048"/>
            <w:shd w:fill="FFFFFF"/>
            <w:tcMar>
              <w:top w:w="90" w:type="dxa"/>
              <w:bottom w:w="90" w:type="dxa"/>
              <w:left w:w="120" w:type="dxa"/>
              <w:right w:w="120" w:type="dxa"/>
            </w:tcMar>
            <w:vAlign w:val="center"/>
          </w:tcPr>
          <w:p>
            <w:pPr>
              <w:spacing w:before="0" w:after="0"/>
              <w:jc w:val="left"/>
            </w:pPr>
            <w:r>
              <w:rPr>
                <w:rFonts w:ascii="Times New Roman" w:hAnsi="Times New Roman"/>
                <w:color w:val="0F172A"/>
                <w:sz w:val="18"/>
              </w:rPr>
              <w:t>DECLARATION</w:t>
            </w:r>
          </w:p>
        </w:tc>
        <w:tc>
          <w:tcPr>
            <w:tcW w:type="dxa" w:w="1152"/>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ii</w:t>
            </w:r>
          </w:p>
        </w:tc>
      </w:tr>
      <w:tr>
        <w:tc>
          <w:tcPr>
            <w:tcW w:type="dxa" w:w="2160"/>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r>
          </w:p>
        </w:tc>
        <w:tc>
          <w:tcPr>
            <w:tcW w:type="dxa" w:w="6048"/>
            <w:shd w:fill="F8FAFC"/>
            <w:tcMar>
              <w:top w:w="90" w:type="dxa"/>
              <w:bottom w:w="90" w:type="dxa"/>
              <w:left w:w="120" w:type="dxa"/>
              <w:right w:w="120" w:type="dxa"/>
            </w:tcMar>
            <w:vAlign w:val="center"/>
          </w:tcPr>
          <w:p>
            <w:pPr>
              <w:spacing w:before="0" w:after="0"/>
              <w:jc w:val="left"/>
            </w:pPr>
            <w:r>
              <w:rPr>
                <w:rFonts w:ascii="Times New Roman" w:hAnsi="Times New Roman"/>
                <w:color w:val="0F172A"/>
                <w:sz w:val="18"/>
              </w:rPr>
              <w:t>BONAFIDE CERTIFICATE</w:t>
            </w:r>
          </w:p>
        </w:tc>
        <w:tc>
          <w:tcPr>
            <w:tcW w:type="dxa" w:w="1152"/>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iii</w:t>
            </w:r>
          </w:p>
        </w:tc>
      </w:tr>
      <w:tr>
        <w:tc>
          <w:tcPr>
            <w:tcW w:type="dxa" w:w="2160"/>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r>
          </w:p>
        </w:tc>
        <w:tc>
          <w:tcPr>
            <w:tcW w:type="dxa" w:w="6048"/>
            <w:shd w:fill="FFFFFF"/>
            <w:tcMar>
              <w:top w:w="90" w:type="dxa"/>
              <w:bottom w:w="90" w:type="dxa"/>
              <w:left w:w="120" w:type="dxa"/>
              <w:right w:w="120" w:type="dxa"/>
            </w:tcMar>
            <w:vAlign w:val="center"/>
          </w:tcPr>
          <w:p>
            <w:pPr>
              <w:spacing w:before="0" w:after="0"/>
              <w:jc w:val="left"/>
            </w:pPr>
            <w:r>
              <w:rPr>
                <w:rFonts w:ascii="Times New Roman" w:hAnsi="Times New Roman"/>
                <w:color w:val="0F172A"/>
                <w:sz w:val="18"/>
              </w:rPr>
              <w:t>ACKNOWLEDGEMENT</w:t>
            </w:r>
          </w:p>
        </w:tc>
        <w:tc>
          <w:tcPr>
            <w:tcW w:type="dxa" w:w="1152"/>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iv</w:t>
            </w:r>
          </w:p>
        </w:tc>
      </w:tr>
      <w:tr>
        <w:tc>
          <w:tcPr>
            <w:tcW w:type="dxa" w:w="2160"/>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r>
          </w:p>
        </w:tc>
        <w:tc>
          <w:tcPr>
            <w:tcW w:type="dxa" w:w="6048"/>
            <w:shd w:fill="F8FAFC"/>
            <w:tcMar>
              <w:top w:w="90" w:type="dxa"/>
              <w:bottom w:w="90" w:type="dxa"/>
              <w:left w:w="120" w:type="dxa"/>
              <w:right w:w="120" w:type="dxa"/>
            </w:tcMar>
            <w:vAlign w:val="center"/>
          </w:tcPr>
          <w:p>
            <w:pPr>
              <w:spacing w:before="0" w:after="0"/>
              <w:jc w:val="left"/>
            </w:pPr>
            <w:r>
              <w:rPr>
                <w:rFonts w:ascii="Times New Roman" w:hAnsi="Times New Roman"/>
                <w:color w:val="0F172A"/>
                <w:sz w:val="18"/>
              </w:rPr>
              <w:t>ABSTRACT</w:t>
            </w:r>
          </w:p>
        </w:tc>
        <w:tc>
          <w:tcPr>
            <w:tcW w:type="dxa" w:w="1152"/>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v</w:t>
            </w:r>
          </w:p>
        </w:tc>
      </w:tr>
      <w:tr>
        <w:tc>
          <w:tcPr>
            <w:tcW w:type="dxa" w:w="2160"/>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r>
          </w:p>
        </w:tc>
        <w:tc>
          <w:tcPr>
            <w:tcW w:type="dxa" w:w="6048"/>
            <w:shd w:fill="FFFFFF"/>
            <w:tcMar>
              <w:top w:w="90" w:type="dxa"/>
              <w:bottom w:w="90" w:type="dxa"/>
              <w:left w:w="120" w:type="dxa"/>
              <w:right w:w="120" w:type="dxa"/>
            </w:tcMar>
            <w:vAlign w:val="center"/>
          </w:tcPr>
          <w:p>
            <w:pPr>
              <w:spacing w:before="0" w:after="0"/>
              <w:jc w:val="left"/>
            </w:pPr>
            <w:r>
              <w:rPr>
                <w:rFonts w:ascii="Times New Roman" w:hAnsi="Times New Roman"/>
                <w:color w:val="0F172A"/>
                <w:sz w:val="18"/>
              </w:rPr>
              <w:t>LIST OF FIGURES</w:t>
            </w:r>
          </w:p>
        </w:tc>
        <w:tc>
          <w:tcPr>
            <w:tcW w:type="dxa" w:w="1152"/>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viii</w:t>
            </w:r>
          </w:p>
        </w:tc>
      </w:tr>
      <w:tr>
        <w:tc>
          <w:tcPr>
            <w:tcW w:type="dxa" w:w="2160"/>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r>
          </w:p>
        </w:tc>
        <w:tc>
          <w:tcPr>
            <w:tcW w:type="dxa" w:w="6048"/>
            <w:shd w:fill="F8FAFC"/>
            <w:tcMar>
              <w:top w:w="90" w:type="dxa"/>
              <w:bottom w:w="90" w:type="dxa"/>
              <w:left w:w="120" w:type="dxa"/>
              <w:right w:w="120" w:type="dxa"/>
            </w:tcMar>
            <w:vAlign w:val="center"/>
          </w:tcPr>
          <w:p>
            <w:pPr>
              <w:spacing w:before="0" w:after="0"/>
              <w:jc w:val="left"/>
            </w:pPr>
            <w:r>
              <w:rPr>
                <w:rFonts w:ascii="Times New Roman" w:hAnsi="Times New Roman"/>
                <w:color w:val="0F172A"/>
                <w:sz w:val="18"/>
              </w:rPr>
              <w:t>LIST OF TABLES</w:t>
            </w:r>
          </w:p>
        </w:tc>
        <w:tc>
          <w:tcPr>
            <w:tcW w:type="dxa" w:w="1152"/>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ix</w:t>
            </w:r>
          </w:p>
        </w:tc>
      </w:tr>
      <w:tr>
        <w:tc>
          <w:tcPr>
            <w:tcW w:type="dxa" w:w="2160"/>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CHAPTER 1</w:t>
            </w:r>
          </w:p>
        </w:tc>
        <w:tc>
          <w:tcPr>
            <w:tcW w:type="dxa" w:w="6048"/>
            <w:shd w:fill="FFFFFF"/>
            <w:tcMar>
              <w:top w:w="90" w:type="dxa"/>
              <w:bottom w:w="90" w:type="dxa"/>
              <w:left w:w="120" w:type="dxa"/>
              <w:right w:w="120" w:type="dxa"/>
            </w:tcMar>
            <w:vAlign w:val="center"/>
          </w:tcPr>
          <w:p>
            <w:pPr>
              <w:spacing w:before="0" w:after="0"/>
              <w:jc w:val="left"/>
            </w:pPr>
            <w:r>
              <w:rPr>
                <w:rFonts w:ascii="Times New Roman" w:hAnsi="Times New Roman"/>
                <w:color w:val="0F172A"/>
                <w:sz w:val="18"/>
              </w:rPr>
              <w:t>INTRODUCTION</w:t>
            </w:r>
          </w:p>
        </w:tc>
        <w:tc>
          <w:tcPr>
            <w:tcW w:type="dxa" w:w="1152"/>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1</w:t>
            </w:r>
          </w:p>
        </w:tc>
      </w:tr>
      <w:tr>
        <w:tc>
          <w:tcPr>
            <w:tcW w:type="dxa" w:w="2160"/>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1.1</w:t>
            </w:r>
          </w:p>
        </w:tc>
        <w:tc>
          <w:tcPr>
            <w:tcW w:type="dxa" w:w="6048"/>
            <w:shd w:fill="F8FAFC"/>
            <w:tcMar>
              <w:top w:w="90" w:type="dxa"/>
              <w:bottom w:w="90" w:type="dxa"/>
              <w:left w:w="120" w:type="dxa"/>
              <w:right w:w="120" w:type="dxa"/>
            </w:tcMar>
            <w:vAlign w:val="center"/>
          </w:tcPr>
          <w:p>
            <w:pPr>
              <w:spacing w:before="0" w:after="0"/>
              <w:jc w:val="left"/>
            </w:pPr>
            <w:r>
              <w:rPr>
                <w:rFonts w:ascii="Times New Roman" w:hAnsi="Times New Roman"/>
                <w:color w:val="0F172A"/>
                <w:sz w:val="18"/>
              </w:rPr>
              <w:t>Background Information</w:t>
            </w:r>
          </w:p>
        </w:tc>
        <w:tc>
          <w:tcPr>
            <w:tcW w:type="dxa" w:w="1152"/>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1</w:t>
            </w:r>
          </w:p>
        </w:tc>
      </w:tr>
      <w:tr>
        <w:tc>
          <w:tcPr>
            <w:tcW w:type="dxa" w:w="2160"/>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1.2</w:t>
            </w:r>
          </w:p>
        </w:tc>
        <w:tc>
          <w:tcPr>
            <w:tcW w:type="dxa" w:w="6048"/>
            <w:shd w:fill="FFFFFF"/>
            <w:tcMar>
              <w:top w:w="90" w:type="dxa"/>
              <w:bottom w:w="90" w:type="dxa"/>
              <w:left w:w="120" w:type="dxa"/>
              <w:right w:w="120" w:type="dxa"/>
            </w:tcMar>
            <w:vAlign w:val="center"/>
          </w:tcPr>
          <w:p>
            <w:pPr>
              <w:spacing w:before="0" w:after="0"/>
              <w:jc w:val="left"/>
            </w:pPr>
            <w:r>
              <w:rPr>
                <w:rFonts w:ascii="Times New Roman" w:hAnsi="Times New Roman"/>
                <w:color w:val="0F172A"/>
                <w:sz w:val="18"/>
              </w:rPr>
              <w:t>Project Objectives</w:t>
            </w:r>
          </w:p>
        </w:tc>
        <w:tc>
          <w:tcPr>
            <w:tcW w:type="dxa" w:w="1152"/>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2</w:t>
            </w:r>
          </w:p>
        </w:tc>
      </w:tr>
      <w:tr>
        <w:tc>
          <w:tcPr>
            <w:tcW w:type="dxa" w:w="2160"/>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1.3</w:t>
            </w:r>
          </w:p>
        </w:tc>
        <w:tc>
          <w:tcPr>
            <w:tcW w:type="dxa" w:w="6048"/>
            <w:shd w:fill="F8FAFC"/>
            <w:tcMar>
              <w:top w:w="90" w:type="dxa"/>
              <w:bottom w:w="90" w:type="dxa"/>
              <w:left w:w="120" w:type="dxa"/>
              <w:right w:w="120" w:type="dxa"/>
            </w:tcMar>
            <w:vAlign w:val="center"/>
          </w:tcPr>
          <w:p>
            <w:pPr>
              <w:spacing w:before="0" w:after="0"/>
              <w:jc w:val="left"/>
            </w:pPr>
            <w:r>
              <w:rPr>
                <w:rFonts w:ascii="Times New Roman" w:hAnsi="Times New Roman"/>
                <w:color w:val="0F172A"/>
                <w:sz w:val="18"/>
              </w:rPr>
              <w:t>Significance of the Project</w:t>
            </w:r>
          </w:p>
        </w:tc>
        <w:tc>
          <w:tcPr>
            <w:tcW w:type="dxa" w:w="1152"/>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2</w:t>
            </w:r>
          </w:p>
        </w:tc>
      </w:tr>
      <w:tr>
        <w:tc>
          <w:tcPr>
            <w:tcW w:type="dxa" w:w="2160"/>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1.4</w:t>
            </w:r>
          </w:p>
        </w:tc>
        <w:tc>
          <w:tcPr>
            <w:tcW w:type="dxa" w:w="6048"/>
            <w:shd w:fill="FFFFFF"/>
            <w:tcMar>
              <w:top w:w="90" w:type="dxa"/>
              <w:bottom w:w="90" w:type="dxa"/>
              <w:left w:w="120" w:type="dxa"/>
              <w:right w:w="120" w:type="dxa"/>
            </w:tcMar>
            <w:vAlign w:val="center"/>
          </w:tcPr>
          <w:p>
            <w:pPr>
              <w:spacing w:before="0" w:after="0"/>
              <w:jc w:val="left"/>
            </w:pPr>
            <w:r>
              <w:rPr>
                <w:rFonts w:ascii="Times New Roman" w:hAnsi="Times New Roman"/>
                <w:color w:val="0F172A"/>
                <w:sz w:val="18"/>
              </w:rPr>
              <w:t>Scope of the Investigation</w:t>
            </w:r>
          </w:p>
        </w:tc>
        <w:tc>
          <w:tcPr>
            <w:tcW w:type="dxa" w:w="1152"/>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3</w:t>
            </w:r>
          </w:p>
        </w:tc>
      </w:tr>
      <w:tr>
        <w:tc>
          <w:tcPr>
            <w:tcW w:type="dxa" w:w="2160"/>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1.5</w:t>
            </w:r>
          </w:p>
        </w:tc>
        <w:tc>
          <w:tcPr>
            <w:tcW w:type="dxa" w:w="6048"/>
            <w:shd w:fill="F8FAFC"/>
            <w:tcMar>
              <w:top w:w="90" w:type="dxa"/>
              <w:bottom w:w="90" w:type="dxa"/>
              <w:left w:w="120" w:type="dxa"/>
              <w:right w:w="120" w:type="dxa"/>
            </w:tcMar>
            <w:vAlign w:val="center"/>
          </w:tcPr>
          <w:p>
            <w:pPr>
              <w:spacing w:before="0" w:after="0"/>
              <w:jc w:val="left"/>
            </w:pPr>
            <w:r>
              <w:rPr>
                <w:rFonts w:ascii="Times New Roman" w:hAnsi="Times New Roman"/>
                <w:color w:val="0F172A"/>
                <w:sz w:val="18"/>
              </w:rPr>
              <w:t>Methodology Overview</w:t>
            </w:r>
          </w:p>
        </w:tc>
        <w:tc>
          <w:tcPr>
            <w:tcW w:type="dxa" w:w="1152"/>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3</w:t>
            </w:r>
          </w:p>
        </w:tc>
      </w:tr>
      <w:tr>
        <w:tc>
          <w:tcPr>
            <w:tcW w:type="dxa" w:w="2160"/>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CHAPTER 2</w:t>
            </w:r>
          </w:p>
        </w:tc>
        <w:tc>
          <w:tcPr>
            <w:tcW w:type="dxa" w:w="6048"/>
            <w:shd w:fill="FFFFFF"/>
            <w:tcMar>
              <w:top w:w="90" w:type="dxa"/>
              <w:bottom w:w="90" w:type="dxa"/>
              <w:left w:w="120" w:type="dxa"/>
              <w:right w:w="120" w:type="dxa"/>
            </w:tcMar>
            <w:vAlign w:val="center"/>
          </w:tcPr>
          <w:p>
            <w:pPr>
              <w:spacing w:before="0" w:after="0"/>
              <w:jc w:val="left"/>
            </w:pPr>
            <w:r>
              <w:rPr>
                <w:rFonts w:ascii="Times New Roman" w:hAnsi="Times New Roman"/>
                <w:color w:val="0F172A"/>
                <w:sz w:val="18"/>
              </w:rPr>
              <w:t>PROBLEM IDENTIFICATION AND ANALYSIS</w:t>
            </w:r>
          </w:p>
        </w:tc>
        <w:tc>
          <w:tcPr>
            <w:tcW w:type="dxa" w:w="1152"/>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5</w:t>
            </w:r>
          </w:p>
        </w:tc>
      </w:tr>
      <w:tr>
        <w:tc>
          <w:tcPr>
            <w:tcW w:type="dxa" w:w="2160"/>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2.1</w:t>
            </w:r>
          </w:p>
        </w:tc>
        <w:tc>
          <w:tcPr>
            <w:tcW w:type="dxa" w:w="6048"/>
            <w:shd w:fill="F8FAFC"/>
            <w:tcMar>
              <w:top w:w="90" w:type="dxa"/>
              <w:bottom w:w="90" w:type="dxa"/>
              <w:left w:w="120" w:type="dxa"/>
              <w:right w:w="120" w:type="dxa"/>
            </w:tcMar>
            <w:vAlign w:val="center"/>
          </w:tcPr>
          <w:p>
            <w:pPr>
              <w:spacing w:before="0" w:after="0"/>
              <w:jc w:val="left"/>
            </w:pPr>
            <w:r>
              <w:rPr>
                <w:rFonts w:ascii="Times New Roman" w:hAnsi="Times New Roman"/>
                <w:color w:val="0F172A"/>
                <w:sz w:val="18"/>
              </w:rPr>
              <w:t>Description of the Problem</w:t>
            </w:r>
          </w:p>
        </w:tc>
        <w:tc>
          <w:tcPr>
            <w:tcW w:type="dxa" w:w="1152"/>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5</w:t>
            </w:r>
          </w:p>
        </w:tc>
      </w:tr>
      <w:tr>
        <w:tc>
          <w:tcPr>
            <w:tcW w:type="dxa" w:w="2160"/>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2.2</w:t>
            </w:r>
          </w:p>
        </w:tc>
        <w:tc>
          <w:tcPr>
            <w:tcW w:type="dxa" w:w="6048"/>
            <w:shd w:fill="FFFFFF"/>
            <w:tcMar>
              <w:top w:w="90" w:type="dxa"/>
              <w:bottom w:w="90" w:type="dxa"/>
              <w:left w:w="120" w:type="dxa"/>
              <w:right w:w="120" w:type="dxa"/>
            </w:tcMar>
            <w:vAlign w:val="center"/>
          </w:tcPr>
          <w:p>
            <w:pPr>
              <w:spacing w:before="0" w:after="0"/>
              <w:jc w:val="left"/>
            </w:pPr>
            <w:r>
              <w:rPr>
                <w:rFonts w:ascii="Times New Roman" w:hAnsi="Times New Roman"/>
                <w:color w:val="0F172A"/>
                <w:sz w:val="18"/>
              </w:rPr>
              <w:t>Evidence of the Problem</w:t>
            </w:r>
          </w:p>
        </w:tc>
        <w:tc>
          <w:tcPr>
            <w:tcW w:type="dxa" w:w="1152"/>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6</w:t>
            </w:r>
          </w:p>
        </w:tc>
      </w:tr>
      <w:tr>
        <w:tc>
          <w:tcPr>
            <w:tcW w:type="dxa" w:w="2160"/>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2.3</w:t>
            </w:r>
          </w:p>
        </w:tc>
        <w:tc>
          <w:tcPr>
            <w:tcW w:type="dxa" w:w="6048"/>
            <w:shd w:fill="F8FAFC"/>
            <w:tcMar>
              <w:top w:w="90" w:type="dxa"/>
              <w:bottom w:w="90" w:type="dxa"/>
              <w:left w:w="120" w:type="dxa"/>
              <w:right w:w="120" w:type="dxa"/>
            </w:tcMar>
            <w:vAlign w:val="center"/>
          </w:tcPr>
          <w:p>
            <w:pPr>
              <w:spacing w:before="0" w:after="0"/>
              <w:jc w:val="left"/>
            </w:pPr>
            <w:r>
              <w:rPr>
                <w:rFonts w:ascii="Times New Roman" w:hAnsi="Times New Roman"/>
                <w:color w:val="0F172A"/>
                <w:sz w:val="18"/>
              </w:rPr>
              <w:t>Stakeholder Analysis</w:t>
            </w:r>
          </w:p>
        </w:tc>
        <w:tc>
          <w:tcPr>
            <w:tcW w:type="dxa" w:w="1152"/>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7</w:t>
            </w:r>
          </w:p>
        </w:tc>
      </w:tr>
      <w:tr>
        <w:tc>
          <w:tcPr>
            <w:tcW w:type="dxa" w:w="2160"/>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2.4</w:t>
            </w:r>
          </w:p>
        </w:tc>
        <w:tc>
          <w:tcPr>
            <w:tcW w:type="dxa" w:w="6048"/>
            <w:shd w:fill="FFFFFF"/>
            <w:tcMar>
              <w:top w:w="90" w:type="dxa"/>
              <w:bottom w:w="90" w:type="dxa"/>
              <w:left w:w="120" w:type="dxa"/>
              <w:right w:w="120" w:type="dxa"/>
            </w:tcMar>
            <w:vAlign w:val="center"/>
          </w:tcPr>
          <w:p>
            <w:pPr>
              <w:spacing w:before="0" w:after="0"/>
              <w:jc w:val="left"/>
            </w:pPr>
            <w:r>
              <w:rPr>
                <w:rFonts w:ascii="Times New Roman" w:hAnsi="Times New Roman"/>
                <w:color w:val="0F172A"/>
                <w:sz w:val="18"/>
              </w:rPr>
              <w:t>Supporting Data, Mathematical Models &amp; Research</w:t>
            </w:r>
          </w:p>
        </w:tc>
        <w:tc>
          <w:tcPr>
            <w:tcW w:type="dxa" w:w="1152"/>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7</w:t>
            </w:r>
          </w:p>
        </w:tc>
      </w:tr>
      <w:tr>
        <w:tc>
          <w:tcPr>
            <w:tcW w:type="dxa" w:w="2160"/>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CHAPTER 3</w:t>
            </w:r>
          </w:p>
        </w:tc>
        <w:tc>
          <w:tcPr>
            <w:tcW w:type="dxa" w:w="6048"/>
            <w:shd w:fill="F8FAFC"/>
            <w:tcMar>
              <w:top w:w="90" w:type="dxa"/>
              <w:bottom w:w="90" w:type="dxa"/>
              <w:left w:w="120" w:type="dxa"/>
              <w:right w:w="120" w:type="dxa"/>
            </w:tcMar>
            <w:vAlign w:val="center"/>
          </w:tcPr>
          <w:p>
            <w:pPr>
              <w:spacing w:before="0" w:after="0"/>
              <w:jc w:val="left"/>
            </w:pPr>
            <w:r>
              <w:rPr>
                <w:rFonts w:ascii="Times New Roman" w:hAnsi="Times New Roman"/>
                <w:color w:val="0F172A"/>
                <w:sz w:val="18"/>
              </w:rPr>
              <w:t>SOLUTION DESIGN AND IMPLEMENTATION</w:t>
            </w:r>
          </w:p>
        </w:tc>
        <w:tc>
          <w:tcPr>
            <w:tcW w:type="dxa" w:w="1152"/>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10</w:t>
            </w:r>
          </w:p>
        </w:tc>
      </w:tr>
      <w:tr>
        <w:tc>
          <w:tcPr>
            <w:tcW w:type="dxa" w:w="2160"/>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3.1</w:t>
            </w:r>
          </w:p>
        </w:tc>
        <w:tc>
          <w:tcPr>
            <w:tcW w:type="dxa" w:w="6048"/>
            <w:shd w:fill="FFFFFF"/>
            <w:tcMar>
              <w:top w:w="90" w:type="dxa"/>
              <w:bottom w:w="90" w:type="dxa"/>
              <w:left w:w="120" w:type="dxa"/>
              <w:right w:w="120" w:type="dxa"/>
            </w:tcMar>
            <w:vAlign w:val="center"/>
          </w:tcPr>
          <w:p>
            <w:pPr>
              <w:spacing w:before="0" w:after="0"/>
              <w:jc w:val="left"/>
            </w:pPr>
            <w:r>
              <w:rPr>
                <w:rFonts w:ascii="Times New Roman" w:hAnsi="Times New Roman"/>
                <w:color w:val="0F172A"/>
                <w:sz w:val="18"/>
              </w:rPr>
              <w:t>Development and Design Process</w:t>
            </w:r>
          </w:p>
        </w:tc>
        <w:tc>
          <w:tcPr>
            <w:tcW w:type="dxa" w:w="1152"/>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10</w:t>
            </w:r>
          </w:p>
        </w:tc>
      </w:tr>
      <w:tr>
        <w:tc>
          <w:tcPr>
            <w:tcW w:type="dxa" w:w="2160"/>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3.2</w:t>
            </w:r>
          </w:p>
        </w:tc>
        <w:tc>
          <w:tcPr>
            <w:tcW w:type="dxa" w:w="6048"/>
            <w:shd w:fill="F8FAFC"/>
            <w:tcMar>
              <w:top w:w="90" w:type="dxa"/>
              <w:bottom w:w="90" w:type="dxa"/>
              <w:left w:w="120" w:type="dxa"/>
              <w:right w:w="120" w:type="dxa"/>
            </w:tcMar>
            <w:vAlign w:val="center"/>
          </w:tcPr>
          <w:p>
            <w:pPr>
              <w:spacing w:before="0" w:after="0"/>
              <w:jc w:val="left"/>
            </w:pPr>
            <w:r>
              <w:rPr>
                <w:rFonts w:ascii="Times New Roman" w:hAnsi="Times New Roman"/>
                <w:color w:val="0F172A"/>
                <w:sz w:val="18"/>
              </w:rPr>
              <w:t>Tools and Technologies Used</w:t>
            </w:r>
          </w:p>
        </w:tc>
        <w:tc>
          <w:tcPr>
            <w:tcW w:type="dxa" w:w="1152"/>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11</w:t>
            </w:r>
          </w:p>
        </w:tc>
      </w:tr>
      <w:tr>
        <w:tc>
          <w:tcPr>
            <w:tcW w:type="dxa" w:w="2160"/>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3.3</w:t>
            </w:r>
          </w:p>
        </w:tc>
        <w:tc>
          <w:tcPr>
            <w:tcW w:type="dxa" w:w="6048"/>
            <w:shd w:fill="FFFFFF"/>
            <w:tcMar>
              <w:top w:w="90" w:type="dxa"/>
              <w:bottom w:w="90" w:type="dxa"/>
              <w:left w:w="120" w:type="dxa"/>
              <w:right w:w="120" w:type="dxa"/>
            </w:tcMar>
            <w:vAlign w:val="center"/>
          </w:tcPr>
          <w:p>
            <w:pPr>
              <w:spacing w:before="0" w:after="0"/>
              <w:jc w:val="left"/>
            </w:pPr>
            <w:r>
              <w:rPr>
                <w:rFonts w:ascii="Times New Roman" w:hAnsi="Times New Roman"/>
                <w:color w:val="0F172A"/>
                <w:sz w:val="18"/>
              </w:rPr>
              <w:t>Detailed Solution Architecture &amp; Subsystem Implementation</w:t>
            </w:r>
          </w:p>
        </w:tc>
        <w:tc>
          <w:tcPr>
            <w:tcW w:type="dxa" w:w="1152"/>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12</w:t>
            </w:r>
          </w:p>
        </w:tc>
      </w:tr>
      <w:tr>
        <w:tc>
          <w:tcPr>
            <w:tcW w:type="dxa" w:w="2160"/>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3.3.1</w:t>
            </w:r>
          </w:p>
        </w:tc>
        <w:tc>
          <w:tcPr>
            <w:tcW w:type="dxa" w:w="6048"/>
            <w:shd w:fill="F8FAFC"/>
            <w:tcMar>
              <w:top w:w="90" w:type="dxa"/>
              <w:bottom w:w="90" w:type="dxa"/>
              <w:left w:w="120" w:type="dxa"/>
              <w:right w:w="120" w:type="dxa"/>
            </w:tcMar>
            <w:vAlign w:val="center"/>
          </w:tcPr>
          <w:p>
            <w:pPr>
              <w:spacing w:before="0" w:after="0"/>
              <w:jc w:val="left"/>
            </w:pPr>
            <w:r>
              <w:rPr>
                <w:rFonts w:ascii="Times New Roman" w:hAnsi="Times New Roman"/>
                <w:color w:val="0F172A"/>
                <w:sz w:val="18"/>
              </w:rPr>
              <w:t>Relational Healthcare Database Schema Design</w:t>
            </w:r>
          </w:p>
        </w:tc>
        <w:tc>
          <w:tcPr>
            <w:tcW w:type="dxa" w:w="1152"/>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12</w:t>
            </w:r>
          </w:p>
        </w:tc>
      </w:tr>
      <w:tr>
        <w:tc>
          <w:tcPr>
            <w:tcW w:type="dxa" w:w="2160"/>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3.3.2</w:t>
            </w:r>
          </w:p>
        </w:tc>
        <w:tc>
          <w:tcPr>
            <w:tcW w:type="dxa" w:w="6048"/>
            <w:shd w:fill="FFFFFF"/>
            <w:tcMar>
              <w:top w:w="90" w:type="dxa"/>
              <w:bottom w:w="90" w:type="dxa"/>
              <w:left w:w="120" w:type="dxa"/>
              <w:right w:w="120" w:type="dxa"/>
            </w:tcMar>
            <w:vAlign w:val="center"/>
          </w:tcPr>
          <w:p>
            <w:pPr>
              <w:spacing w:before="0" w:after="0"/>
              <w:jc w:val="left"/>
            </w:pPr>
            <w:r>
              <w:rPr>
                <w:rFonts w:ascii="Times New Roman" w:hAnsi="Times New Roman"/>
                <w:color w:val="0F172A"/>
                <w:sz w:val="18"/>
              </w:rPr>
              <w:t>SQL AST Parsing &amp; Security Guardrail Engine</w:t>
            </w:r>
          </w:p>
        </w:tc>
        <w:tc>
          <w:tcPr>
            <w:tcW w:type="dxa" w:w="1152"/>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13</w:t>
            </w:r>
          </w:p>
        </w:tc>
      </w:tr>
      <w:tr>
        <w:tc>
          <w:tcPr>
            <w:tcW w:type="dxa" w:w="2160"/>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3.3.3</w:t>
            </w:r>
          </w:p>
        </w:tc>
        <w:tc>
          <w:tcPr>
            <w:tcW w:type="dxa" w:w="6048"/>
            <w:shd w:fill="F8FAFC"/>
            <w:tcMar>
              <w:top w:w="90" w:type="dxa"/>
              <w:bottom w:w="90" w:type="dxa"/>
              <w:left w:w="120" w:type="dxa"/>
              <w:right w:w="120" w:type="dxa"/>
            </w:tcMar>
            <w:vAlign w:val="center"/>
          </w:tcPr>
          <w:p>
            <w:pPr>
              <w:spacing w:before="0" w:after="0"/>
              <w:jc w:val="left"/>
            </w:pPr>
            <w:r>
              <w:rPr>
                <w:rFonts w:ascii="Times New Roman" w:hAnsi="Times New Roman"/>
                <w:color w:val="0F172A"/>
                <w:sz w:val="18"/>
              </w:rPr>
              <w:t>Adaptive Query Processing &amp; Execution Plan Decomposer</w:t>
            </w:r>
          </w:p>
        </w:tc>
        <w:tc>
          <w:tcPr>
            <w:tcW w:type="dxa" w:w="1152"/>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14</w:t>
            </w:r>
          </w:p>
        </w:tc>
      </w:tr>
      <w:tr>
        <w:tc>
          <w:tcPr>
            <w:tcW w:type="dxa" w:w="2160"/>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3.3.4</w:t>
            </w:r>
          </w:p>
        </w:tc>
        <w:tc>
          <w:tcPr>
            <w:tcW w:type="dxa" w:w="6048"/>
            <w:shd w:fill="FFFFFF"/>
            <w:tcMar>
              <w:top w:w="90" w:type="dxa"/>
              <w:bottom w:w="90" w:type="dxa"/>
              <w:left w:w="120" w:type="dxa"/>
              <w:right w:w="120" w:type="dxa"/>
            </w:tcMar>
            <w:vAlign w:val="center"/>
          </w:tcPr>
          <w:p>
            <w:pPr>
              <w:spacing w:before="0" w:after="0"/>
              <w:jc w:val="left"/>
            </w:pPr>
            <w:r>
              <w:rPr>
                <w:rFonts w:ascii="Times New Roman" w:hAnsi="Times New Roman"/>
                <w:color w:val="0F172A"/>
                <w:sz w:val="18"/>
              </w:rPr>
              <w:t>Automated Heuristic Index Recommender &amp; A/B Benchmarker</w:t>
            </w:r>
          </w:p>
        </w:tc>
        <w:tc>
          <w:tcPr>
            <w:tcW w:type="dxa" w:w="1152"/>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15</w:t>
            </w:r>
          </w:p>
        </w:tc>
      </w:tr>
      <w:tr>
        <w:tc>
          <w:tcPr>
            <w:tcW w:type="dxa" w:w="2160"/>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3.3.5</w:t>
            </w:r>
          </w:p>
        </w:tc>
        <w:tc>
          <w:tcPr>
            <w:tcW w:type="dxa" w:w="6048"/>
            <w:shd w:fill="F8FAFC"/>
            <w:tcMar>
              <w:top w:w="90" w:type="dxa"/>
              <w:bottom w:w="90" w:type="dxa"/>
              <w:left w:w="120" w:type="dxa"/>
              <w:right w:w="120" w:type="dxa"/>
            </w:tcMar>
            <w:vAlign w:val="center"/>
          </w:tcPr>
          <w:p>
            <w:pPr>
              <w:spacing w:before="0" w:after="0"/>
              <w:jc w:val="left"/>
            </w:pPr>
            <w:r>
              <w:rPr>
                <w:rFonts w:ascii="Times New Roman" w:hAnsi="Times New Roman"/>
                <w:color w:val="0F172A"/>
                <w:sz w:val="18"/>
              </w:rPr>
              <w:t>Schema-Aware Natural Language to SQL AI Engine</w:t>
            </w:r>
          </w:p>
        </w:tc>
        <w:tc>
          <w:tcPr>
            <w:tcW w:type="dxa" w:w="1152"/>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16</w:t>
            </w:r>
          </w:p>
        </w:tc>
      </w:tr>
      <w:tr>
        <w:tc>
          <w:tcPr>
            <w:tcW w:type="dxa" w:w="2160"/>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3.3.6</w:t>
            </w:r>
          </w:p>
        </w:tc>
        <w:tc>
          <w:tcPr>
            <w:tcW w:type="dxa" w:w="6048"/>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3-Model Clinical Machine Learning Pipeline</w:t>
            </w:r>
          </w:p>
        </w:tc>
        <w:tc>
          <w:tcPr>
            <w:tcW w:type="dxa" w:w="1152"/>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17</w:t>
            </w:r>
          </w:p>
        </w:tc>
      </w:tr>
      <w:tr>
        <w:tc>
          <w:tcPr>
            <w:tcW w:type="dxa" w:w="2160"/>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3.3.7</w:t>
            </w:r>
          </w:p>
        </w:tc>
        <w:tc>
          <w:tcPr>
            <w:tcW w:type="dxa" w:w="6048"/>
            <w:shd w:fill="F8FAFC"/>
            <w:tcMar>
              <w:top w:w="90" w:type="dxa"/>
              <w:bottom w:w="90" w:type="dxa"/>
              <w:left w:w="120" w:type="dxa"/>
              <w:right w:w="120" w:type="dxa"/>
            </w:tcMar>
            <w:vAlign w:val="center"/>
          </w:tcPr>
          <w:p>
            <w:pPr>
              <w:spacing w:before="0" w:after="0"/>
              <w:jc w:val="left"/>
            </w:pPr>
            <w:r>
              <w:rPr>
                <w:rFonts w:ascii="Times New Roman" w:hAnsi="Times New Roman"/>
                <w:color w:val="0F172A"/>
                <w:sz w:val="18"/>
              </w:rPr>
              <w:t>Real-Time Telemetry Streaming &amp; WebSocket Hub</w:t>
            </w:r>
          </w:p>
        </w:tc>
        <w:tc>
          <w:tcPr>
            <w:tcW w:type="dxa" w:w="1152"/>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18</w:t>
            </w:r>
          </w:p>
        </w:tc>
      </w:tr>
      <w:tr>
        <w:tc>
          <w:tcPr>
            <w:tcW w:type="dxa" w:w="2160"/>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3.3.8</w:t>
            </w:r>
          </w:p>
        </w:tc>
        <w:tc>
          <w:tcPr>
            <w:tcW w:type="dxa" w:w="6048"/>
            <w:shd w:fill="FFFFFF"/>
            <w:tcMar>
              <w:top w:w="90" w:type="dxa"/>
              <w:bottom w:w="90" w:type="dxa"/>
              <w:left w:w="120" w:type="dxa"/>
              <w:right w:w="120" w:type="dxa"/>
            </w:tcMar>
            <w:vAlign w:val="center"/>
          </w:tcPr>
          <w:p>
            <w:pPr>
              <w:spacing w:before="0" w:after="0"/>
              <w:jc w:val="left"/>
            </w:pPr>
            <w:r>
              <w:rPr>
                <w:rFonts w:ascii="Times New Roman" w:hAnsi="Times New Roman"/>
                <w:color w:val="0F172A"/>
                <w:sz w:val="18"/>
              </w:rPr>
              <w:t>Full-Stack Web Interface &amp; ReactFlow Plan Visualizer</w:t>
            </w:r>
          </w:p>
        </w:tc>
        <w:tc>
          <w:tcPr>
            <w:tcW w:type="dxa" w:w="1152"/>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19</w:t>
            </w:r>
          </w:p>
        </w:tc>
      </w:tr>
      <w:tr>
        <w:tc>
          <w:tcPr>
            <w:tcW w:type="dxa" w:w="2160"/>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3.4</w:t>
            </w:r>
          </w:p>
        </w:tc>
        <w:tc>
          <w:tcPr>
            <w:tcW w:type="dxa" w:w="6048"/>
            <w:shd w:fill="F8FAFC"/>
            <w:tcMar>
              <w:top w:w="90" w:type="dxa"/>
              <w:bottom w:w="90" w:type="dxa"/>
              <w:left w:w="120" w:type="dxa"/>
              <w:right w:w="120" w:type="dxa"/>
            </w:tcMar>
            <w:vAlign w:val="center"/>
          </w:tcPr>
          <w:p>
            <w:pPr>
              <w:spacing w:before="0" w:after="0"/>
              <w:jc w:val="left"/>
            </w:pPr>
            <w:r>
              <w:rPr>
                <w:rFonts w:ascii="Times New Roman" w:hAnsi="Times New Roman"/>
                <w:color w:val="0F172A"/>
                <w:sz w:val="18"/>
              </w:rPr>
              <w:t>Engineering Standards Applied</w:t>
            </w:r>
          </w:p>
        </w:tc>
        <w:tc>
          <w:tcPr>
            <w:tcW w:type="dxa" w:w="1152"/>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20</w:t>
            </w:r>
          </w:p>
        </w:tc>
      </w:tr>
      <w:tr>
        <w:tc>
          <w:tcPr>
            <w:tcW w:type="dxa" w:w="2160"/>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3.5</w:t>
            </w:r>
          </w:p>
        </w:tc>
        <w:tc>
          <w:tcPr>
            <w:tcW w:type="dxa" w:w="6048"/>
            <w:shd w:fill="FFFFFF"/>
            <w:tcMar>
              <w:top w:w="90" w:type="dxa"/>
              <w:bottom w:w="90" w:type="dxa"/>
              <w:left w:w="120" w:type="dxa"/>
              <w:right w:w="120" w:type="dxa"/>
            </w:tcMar>
            <w:vAlign w:val="center"/>
          </w:tcPr>
          <w:p>
            <w:pPr>
              <w:spacing w:before="0" w:after="0"/>
              <w:jc w:val="left"/>
            </w:pPr>
            <w:r>
              <w:rPr>
                <w:rFonts w:ascii="Times New Roman" w:hAnsi="Times New Roman"/>
                <w:color w:val="0F172A"/>
                <w:sz w:val="18"/>
              </w:rPr>
              <w:t>Solution Justification &amp; Comparative Rationale</w:t>
            </w:r>
          </w:p>
        </w:tc>
        <w:tc>
          <w:tcPr>
            <w:tcW w:type="dxa" w:w="1152"/>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21</w:t>
            </w:r>
          </w:p>
        </w:tc>
      </w:tr>
      <w:tr>
        <w:tc>
          <w:tcPr>
            <w:tcW w:type="dxa" w:w="2160"/>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CHAPTER 4</w:t>
            </w:r>
          </w:p>
        </w:tc>
        <w:tc>
          <w:tcPr>
            <w:tcW w:type="dxa" w:w="6048"/>
            <w:shd w:fill="F8FAFC"/>
            <w:tcMar>
              <w:top w:w="90" w:type="dxa"/>
              <w:bottom w:w="90" w:type="dxa"/>
              <w:left w:w="120" w:type="dxa"/>
              <w:right w:w="120" w:type="dxa"/>
            </w:tcMar>
            <w:vAlign w:val="center"/>
          </w:tcPr>
          <w:p>
            <w:pPr>
              <w:spacing w:before="0" w:after="0"/>
              <w:jc w:val="left"/>
            </w:pPr>
            <w:r>
              <w:rPr>
                <w:rFonts w:ascii="Times New Roman" w:hAnsi="Times New Roman"/>
                <w:color w:val="0F172A"/>
                <w:sz w:val="18"/>
              </w:rPr>
              <w:t>RESULTS AND RECOMMENDATIONS</w:t>
            </w:r>
          </w:p>
        </w:tc>
        <w:tc>
          <w:tcPr>
            <w:tcW w:type="dxa" w:w="1152"/>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22</w:t>
            </w:r>
          </w:p>
        </w:tc>
      </w:tr>
      <w:tr>
        <w:tc>
          <w:tcPr>
            <w:tcW w:type="dxa" w:w="2160"/>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4.1</w:t>
            </w:r>
          </w:p>
        </w:tc>
        <w:tc>
          <w:tcPr>
            <w:tcW w:type="dxa" w:w="6048"/>
            <w:shd w:fill="FFFFFF"/>
            <w:tcMar>
              <w:top w:w="90" w:type="dxa"/>
              <w:bottom w:w="90" w:type="dxa"/>
              <w:left w:w="120" w:type="dxa"/>
              <w:right w:w="120" w:type="dxa"/>
            </w:tcMar>
            <w:vAlign w:val="center"/>
          </w:tcPr>
          <w:p>
            <w:pPr>
              <w:spacing w:before="0" w:after="0"/>
              <w:jc w:val="left"/>
            </w:pPr>
            <w:r>
              <w:rPr>
                <w:rFonts w:ascii="Times New Roman" w:hAnsi="Times New Roman"/>
                <w:color w:val="0F172A"/>
                <w:sz w:val="18"/>
              </w:rPr>
              <w:t>Evaluation of Experimental Results</w:t>
            </w:r>
          </w:p>
        </w:tc>
        <w:tc>
          <w:tcPr>
            <w:tcW w:type="dxa" w:w="1152"/>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22</w:t>
            </w:r>
          </w:p>
        </w:tc>
      </w:tr>
      <w:tr>
        <w:tc>
          <w:tcPr>
            <w:tcW w:type="dxa" w:w="2160"/>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4.2</w:t>
            </w:r>
          </w:p>
        </w:tc>
        <w:tc>
          <w:tcPr>
            <w:tcW w:type="dxa" w:w="6048"/>
            <w:shd w:fill="F8FAFC"/>
            <w:tcMar>
              <w:top w:w="90" w:type="dxa"/>
              <w:bottom w:w="90" w:type="dxa"/>
              <w:left w:w="120" w:type="dxa"/>
              <w:right w:w="120" w:type="dxa"/>
            </w:tcMar>
            <w:vAlign w:val="center"/>
          </w:tcPr>
          <w:p>
            <w:pPr>
              <w:spacing w:before="0" w:after="0"/>
              <w:jc w:val="left"/>
            </w:pPr>
            <w:r>
              <w:rPr>
                <w:rFonts w:ascii="Times New Roman" w:hAnsi="Times New Roman"/>
                <w:color w:val="0F172A"/>
                <w:sz w:val="18"/>
              </w:rPr>
              <w:t>Challenges Encountered and Technical Solutions</w:t>
            </w:r>
          </w:p>
        </w:tc>
        <w:tc>
          <w:tcPr>
            <w:tcW w:type="dxa" w:w="1152"/>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25</w:t>
            </w:r>
          </w:p>
        </w:tc>
      </w:tr>
      <w:tr>
        <w:tc>
          <w:tcPr>
            <w:tcW w:type="dxa" w:w="2160"/>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4.3</w:t>
            </w:r>
          </w:p>
        </w:tc>
        <w:tc>
          <w:tcPr>
            <w:tcW w:type="dxa" w:w="6048"/>
            <w:shd w:fill="FFFFFF"/>
            <w:tcMar>
              <w:top w:w="90" w:type="dxa"/>
              <w:bottom w:w="90" w:type="dxa"/>
              <w:left w:w="120" w:type="dxa"/>
              <w:right w:w="120" w:type="dxa"/>
            </w:tcMar>
            <w:vAlign w:val="center"/>
          </w:tcPr>
          <w:p>
            <w:pPr>
              <w:spacing w:before="0" w:after="0"/>
              <w:jc w:val="left"/>
            </w:pPr>
            <w:r>
              <w:rPr>
                <w:rFonts w:ascii="Times New Roman" w:hAnsi="Times New Roman"/>
                <w:color w:val="0F172A"/>
                <w:sz w:val="18"/>
              </w:rPr>
              <w:t>Possible System Improvements</w:t>
            </w:r>
          </w:p>
        </w:tc>
        <w:tc>
          <w:tcPr>
            <w:tcW w:type="dxa" w:w="1152"/>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26</w:t>
            </w:r>
          </w:p>
        </w:tc>
      </w:tr>
      <w:tr>
        <w:tc>
          <w:tcPr>
            <w:tcW w:type="dxa" w:w="2160"/>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4.4</w:t>
            </w:r>
          </w:p>
        </w:tc>
        <w:tc>
          <w:tcPr>
            <w:tcW w:type="dxa" w:w="6048"/>
            <w:shd w:fill="F8FAFC"/>
            <w:tcMar>
              <w:top w:w="90" w:type="dxa"/>
              <w:bottom w:w="90" w:type="dxa"/>
              <w:left w:w="120" w:type="dxa"/>
              <w:right w:w="120" w:type="dxa"/>
            </w:tcMar>
            <w:vAlign w:val="center"/>
          </w:tcPr>
          <w:p>
            <w:pPr>
              <w:spacing w:before="0" w:after="0"/>
              <w:jc w:val="left"/>
            </w:pPr>
            <w:r>
              <w:rPr>
                <w:rFonts w:ascii="Times New Roman" w:hAnsi="Times New Roman"/>
                <w:color w:val="0F172A"/>
                <w:sz w:val="18"/>
              </w:rPr>
              <w:t>Strategic Recommendations for Clinical Deployment</w:t>
            </w:r>
          </w:p>
        </w:tc>
        <w:tc>
          <w:tcPr>
            <w:tcW w:type="dxa" w:w="1152"/>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26</w:t>
            </w:r>
          </w:p>
        </w:tc>
      </w:tr>
      <w:tr>
        <w:tc>
          <w:tcPr>
            <w:tcW w:type="dxa" w:w="2160"/>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CHAPTER 5</w:t>
            </w:r>
          </w:p>
        </w:tc>
        <w:tc>
          <w:tcPr>
            <w:tcW w:type="dxa" w:w="6048"/>
            <w:shd w:fill="FFFFFF"/>
            <w:tcMar>
              <w:top w:w="90" w:type="dxa"/>
              <w:bottom w:w="90" w:type="dxa"/>
              <w:left w:w="120" w:type="dxa"/>
              <w:right w:w="120" w:type="dxa"/>
            </w:tcMar>
            <w:vAlign w:val="center"/>
          </w:tcPr>
          <w:p>
            <w:pPr>
              <w:spacing w:before="0" w:after="0"/>
              <w:jc w:val="left"/>
            </w:pPr>
            <w:r>
              <w:rPr>
                <w:rFonts w:ascii="Times New Roman" w:hAnsi="Times New Roman"/>
                <w:color w:val="0F172A"/>
                <w:sz w:val="18"/>
              </w:rPr>
              <w:t>REFLECTION ON LEARNING AND PERSONAL DEVELOPMENT</w:t>
            </w:r>
          </w:p>
        </w:tc>
        <w:tc>
          <w:tcPr>
            <w:tcW w:type="dxa" w:w="1152"/>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27</w:t>
            </w:r>
          </w:p>
        </w:tc>
      </w:tr>
      <w:tr>
        <w:tc>
          <w:tcPr>
            <w:tcW w:type="dxa" w:w="2160"/>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5.1</w:t>
            </w:r>
          </w:p>
        </w:tc>
        <w:tc>
          <w:tcPr>
            <w:tcW w:type="dxa" w:w="6048"/>
            <w:shd w:fill="F8FAFC"/>
            <w:tcMar>
              <w:top w:w="90" w:type="dxa"/>
              <w:bottom w:w="90" w:type="dxa"/>
              <w:left w:w="120" w:type="dxa"/>
              <w:right w:w="120" w:type="dxa"/>
            </w:tcMar>
            <w:vAlign w:val="center"/>
          </w:tcPr>
          <w:p>
            <w:pPr>
              <w:spacing w:before="0" w:after="0"/>
              <w:jc w:val="left"/>
            </w:pPr>
            <w:r>
              <w:rPr>
                <w:rFonts w:ascii="Times New Roman" w:hAnsi="Times New Roman"/>
                <w:color w:val="0F172A"/>
                <w:sz w:val="18"/>
              </w:rPr>
              <w:t>Key Learning Outcomes</w:t>
            </w:r>
          </w:p>
        </w:tc>
        <w:tc>
          <w:tcPr>
            <w:tcW w:type="dxa" w:w="1152"/>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27</w:t>
            </w:r>
          </w:p>
        </w:tc>
      </w:tr>
      <w:tr>
        <w:tc>
          <w:tcPr>
            <w:tcW w:type="dxa" w:w="2160"/>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5.2</w:t>
            </w:r>
          </w:p>
        </w:tc>
        <w:tc>
          <w:tcPr>
            <w:tcW w:type="dxa" w:w="6048"/>
            <w:shd w:fill="FFFFFF"/>
            <w:tcMar>
              <w:top w:w="90" w:type="dxa"/>
              <w:bottom w:w="90" w:type="dxa"/>
              <w:left w:w="120" w:type="dxa"/>
              <w:right w:w="120" w:type="dxa"/>
            </w:tcMar>
            <w:vAlign w:val="center"/>
          </w:tcPr>
          <w:p>
            <w:pPr>
              <w:spacing w:before="0" w:after="0"/>
              <w:jc w:val="left"/>
            </w:pPr>
            <w:r>
              <w:rPr>
                <w:rFonts w:ascii="Times New Roman" w:hAnsi="Times New Roman"/>
                <w:color w:val="0F172A"/>
                <w:sz w:val="18"/>
              </w:rPr>
              <w:t>Challenges Encountered and Overcome</w:t>
            </w:r>
          </w:p>
        </w:tc>
        <w:tc>
          <w:tcPr>
            <w:tcW w:type="dxa" w:w="1152"/>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28</w:t>
            </w:r>
          </w:p>
        </w:tc>
      </w:tr>
      <w:tr>
        <w:tc>
          <w:tcPr>
            <w:tcW w:type="dxa" w:w="2160"/>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5.3</w:t>
            </w:r>
          </w:p>
        </w:tc>
        <w:tc>
          <w:tcPr>
            <w:tcW w:type="dxa" w:w="6048"/>
            <w:shd w:fill="F8FAFC"/>
            <w:tcMar>
              <w:top w:w="90" w:type="dxa"/>
              <w:bottom w:w="90" w:type="dxa"/>
              <w:left w:w="120" w:type="dxa"/>
              <w:right w:w="120" w:type="dxa"/>
            </w:tcMar>
            <w:vAlign w:val="center"/>
          </w:tcPr>
          <w:p>
            <w:pPr>
              <w:spacing w:before="0" w:after="0"/>
              <w:jc w:val="left"/>
            </w:pPr>
            <w:r>
              <w:rPr>
                <w:rFonts w:ascii="Times New Roman" w:hAnsi="Times New Roman"/>
                <w:color w:val="0F172A"/>
                <w:sz w:val="18"/>
              </w:rPr>
              <w:t>Application of Engineering Standards &amp; Best Practices</w:t>
            </w:r>
          </w:p>
        </w:tc>
        <w:tc>
          <w:tcPr>
            <w:tcW w:type="dxa" w:w="1152"/>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28</w:t>
            </w:r>
          </w:p>
        </w:tc>
      </w:tr>
      <w:tr>
        <w:tc>
          <w:tcPr>
            <w:tcW w:type="dxa" w:w="2160"/>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5.4</w:t>
            </w:r>
          </w:p>
        </w:tc>
        <w:tc>
          <w:tcPr>
            <w:tcW w:type="dxa" w:w="6048"/>
            <w:shd w:fill="FFFFFF"/>
            <w:tcMar>
              <w:top w:w="90" w:type="dxa"/>
              <w:bottom w:w="90" w:type="dxa"/>
              <w:left w:w="120" w:type="dxa"/>
              <w:right w:w="120" w:type="dxa"/>
            </w:tcMar>
            <w:vAlign w:val="center"/>
          </w:tcPr>
          <w:p>
            <w:pPr>
              <w:spacing w:before="0" w:after="0"/>
              <w:jc w:val="left"/>
            </w:pPr>
            <w:r>
              <w:rPr>
                <w:rFonts w:ascii="Times New Roman" w:hAnsi="Times New Roman"/>
                <w:color w:val="0F172A"/>
                <w:sz w:val="18"/>
              </w:rPr>
              <w:t>Insights into the Healthcare Data Analytics Industry</w:t>
            </w:r>
          </w:p>
        </w:tc>
        <w:tc>
          <w:tcPr>
            <w:tcW w:type="dxa" w:w="1152"/>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29</w:t>
            </w:r>
          </w:p>
        </w:tc>
      </w:tr>
      <w:tr>
        <w:tc>
          <w:tcPr>
            <w:tcW w:type="dxa" w:w="2160"/>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5.5</w:t>
            </w:r>
          </w:p>
        </w:tc>
        <w:tc>
          <w:tcPr>
            <w:tcW w:type="dxa" w:w="6048"/>
            <w:shd w:fill="F8FAFC"/>
            <w:tcMar>
              <w:top w:w="90" w:type="dxa"/>
              <w:bottom w:w="90" w:type="dxa"/>
              <w:left w:w="120" w:type="dxa"/>
              <w:right w:w="120" w:type="dxa"/>
            </w:tcMar>
            <w:vAlign w:val="center"/>
          </w:tcPr>
          <w:p>
            <w:pPr>
              <w:spacing w:before="0" w:after="0"/>
              <w:jc w:val="left"/>
            </w:pPr>
            <w:r>
              <w:rPr>
                <w:rFonts w:ascii="Times New Roman" w:hAnsi="Times New Roman"/>
                <w:color w:val="0F172A"/>
                <w:sz w:val="18"/>
              </w:rPr>
              <w:t>Conclusion of Personal &amp; Team Development</w:t>
            </w:r>
          </w:p>
        </w:tc>
        <w:tc>
          <w:tcPr>
            <w:tcW w:type="dxa" w:w="1152"/>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29</w:t>
            </w:r>
          </w:p>
        </w:tc>
      </w:tr>
      <w:tr>
        <w:tc>
          <w:tcPr>
            <w:tcW w:type="dxa" w:w="2160"/>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CHAPTER 6</w:t>
            </w:r>
          </w:p>
        </w:tc>
        <w:tc>
          <w:tcPr>
            <w:tcW w:type="dxa" w:w="6048"/>
            <w:shd w:fill="FFFFFF"/>
            <w:tcMar>
              <w:top w:w="90" w:type="dxa"/>
              <w:bottom w:w="90" w:type="dxa"/>
              <w:left w:w="120" w:type="dxa"/>
              <w:right w:w="120" w:type="dxa"/>
            </w:tcMar>
            <w:vAlign w:val="center"/>
          </w:tcPr>
          <w:p>
            <w:pPr>
              <w:spacing w:before="0" w:after="0"/>
              <w:jc w:val="left"/>
            </w:pPr>
            <w:r>
              <w:rPr>
                <w:rFonts w:ascii="Times New Roman" w:hAnsi="Times New Roman"/>
                <w:color w:val="0F172A"/>
                <w:sz w:val="18"/>
              </w:rPr>
              <w:t>CONCLUSION</w:t>
            </w:r>
          </w:p>
        </w:tc>
        <w:tc>
          <w:tcPr>
            <w:tcW w:type="dxa" w:w="1152"/>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30</w:t>
            </w:r>
          </w:p>
        </w:tc>
      </w:tr>
      <w:tr>
        <w:tc>
          <w:tcPr>
            <w:tcW w:type="dxa" w:w="2160"/>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6.1</w:t>
            </w:r>
          </w:p>
        </w:tc>
        <w:tc>
          <w:tcPr>
            <w:tcW w:type="dxa" w:w="6048"/>
            <w:shd w:fill="F8FAFC"/>
            <w:tcMar>
              <w:top w:w="90" w:type="dxa"/>
              <w:bottom w:w="90" w:type="dxa"/>
              <w:left w:w="120" w:type="dxa"/>
              <w:right w:w="120" w:type="dxa"/>
            </w:tcMar>
            <w:vAlign w:val="center"/>
          </w:tcPr>
          <w:p>
            <w:pPr>
              <w:spacing w:before="0" w:after="0"/>
              <w:jc w:val="left"/>
            </w:pPr>
            <w:r>
              <w:rPr>
                <w:rFonts w:ascii="Times New Roman" w:hAnsi="Times New Roman"/>
                <w:color w:val="0F172A"/>
                <w:sz w:val="18"/>
              </w:rPr>
              <w:t>Summary of Technical Achievements</w:t>
            </w:r>
          </w:p>
        </w:tc>
        <w:tc>
          <w:tcPr>
            <w:tcW w:type="dxa" w:w="1152"/>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30</w:t>
            </w:r>
          </w:p>
        </w:tc>
      </w:tr>
      <w:tr>
        <w:tc>
          <w:tcPr>
            <w:tcW w:type="dxa" w:w="2160"/>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6.2</w:t>
            </w:r>
          </w:p>
        </w:tc>
        <w:tc>
          <w:tcPr>
            <w:tcW w:type="dxa" w:w="6048"/>
            <w:shd w:fill="FFFFFF"/>
            <w:tcMar>
              <w:top w:w="90" w:type="dxa"/>
              <w:bottom w:w="90" w:type="dxa"/>
              <w:left w:w="120" w:type="dxa"/>
              <w:right w:w="120" w:type="dxa"/>
            </w:tcMar>
            <w:vAlign w:val="center"/>
          </w:tcPr>
          <w:p>
            <w:pPr>
              <w:spacing w:before="0" w:after="0"/>
              <w:jc w:val="left"/>
            </w:pPr>
            <w:r>
              <w:rPr>
                <w:rFonts w:ascii="Times New Roman" w:hAnsi="Times New Roman"/>
                <w:color w:val="0F172A"/>
                <w:sz w:val="18"/>
              </w:rPr>
              <w:t>Future Outlook &amp; Societal Impact</w:t>
            </w:r>
          </w:p>
        </w:tc>
        <w:tc>
          <w:tcPr>
            <w:tcW w:type="dxa" w:w="1152"/>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30</w:t>
            </w:r>
          </w:p>
        </w:tc>
      </w:tr>
      <w:tr>
        <w:tc>
          <w:tcPr>
            <w:tcW w:type="dxa" w:w="2160"/>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r>
          </w:p>
        </w:tc>
        <w:tc>
          <w:tcPr>
            <w:tcW w:type="dxa" w:w="6048"/>
            <w:shd w:fill="F8FAFC"/>
            <w:tcMar>
              <w:top w:w="90" w:type="dxa"/>
              <w:bottom w:w="90" w:type="dxa"/>
              <w:left w:w="120" w:type="dxa"/>
              <w:right w:w="120" w:type="dxa"/>
            </w:tcMar>
            <w:vAlign w:val="center"/>
          </w:tcPr>
          <w:p>
            <w:pPr>
              <w:spacing w:before="0" w:after="0"/>
              <w:jc w:val="left"/>
            </w:pPr>
            <w:r>
              <w:rPr>
                <w:rFonts w:ascii="Times New Roman" w:hAnsi="Times New Roman"/>
                <w:color w:val="0F172A"/>
                <w:sz w:val="18"/>
              </w:rPr>
              <w:t>REFERENCES</w:t>
            </w:r>
          </w:p>
        </w:tc>
        <w:tc>
          <w:tcPr>
            <w:tcW w:type="dxa" w:w="1152"/>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31</w:t>
            </w:r>
          </w:p>
        </w:tc>
      </w:tr>
      <w:tr>
        <w:tc>
          <w:tcPr>
            <w:tcW w:type="dxa" w:w="2160"/>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APPENDIX A</w:t>
            </w:r>
          </w:p>
        </w:tc>
        <w:tc>
          <w:tcPr>
            <w:tcW w:type="dxa" w:w="6048"/>
            <w:shd w:fill="FFFFFF"/>
            <w:tcMar>
              <w:top w:w="90" w:type="dxa"/>
              <w:bottom w:w="90" w:type="dxa"/>
              <w:left w:w="120" w:type="dxa"/>
              <w:right w:w="120" w:type="dxa"/>
            </w:tcMar>
            <w:vAlign w:val="center"/>
          </w:tcPr>
          <w:p>
            <w:pPr>
              <w:spacing w:before="0" w:after="0"/>
              <w:jc w:val="left"/>
            </w:pPr>
            <w:r>
              <w:rPr>
                <w:rFonts w:ascii="Times New Roman" w:hAnsi="Times New Roman"/>
                <w:color w:val="0F172A"/>
                <w:sz w:val="18"/>
              </w:rPr>
              <w:t>System Architecture &amp; Relational ER Diagrams</w:t>
            </w:r>
          </w:p>
        </w:tc>
        <w:tc>
          <w:tcPr>
            <w:tcW w:type="dxa" w:w="1152"/>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33</w:t>
            </w:r>
          </w:p>
        </w:tc>
      </w:tr>
      <w:tr>
        <w:tc>
          <w:tcPr>
            <w:tcW w:type="dxa" w:w="2160"/>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APPENDIX B</w:t>
            </w:r>
          </w:p>
        </w:tc>
        <w:tc>
          <w:tcPr>
            <w:tcW w:type="dxa" w:w="6048"/>
            <w:shd w:fill="F8FAFC"/>
            <w:tcMar>
              <w:top w:w="90" w:type="dxa"/>
              <w:bottom w:w="90" w:type="dxa"/>
              <w:left w:w="120" w:type="dxa"/>
              <w:right w:w="120" w:type="dxa"/>
            </w:tcMar>
            <w:vAlign w:val="center"/>
          </w:tcPr>
          <w:p>
            <w:pPr>
              <w:spacing w:before="0" w:after="0"/>
              <w:jc w:val="left"/>
            </w:pPr>
            <w:r>
              <w:rPr>
                <w:rFonts w:ascii="Times New Roman" w:hAnsi="Times New Roman"/>
                <w:color w:val="0F172A"/>
                <w:sz w:val="18"/>
              </w:rPr>
              <w:t>Performance Benchmark Tables &amp; Hardware Telemetry</w:t>
            </w:r>
          </w:p>
        </w:tc>
        <w:tc>
          <w:tcPr>
            <w:tcW w:type="dxa" w:w="1152"/>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35</w:t>
            </w:r>
          </w:p>
        </w:tc>
      </w:tr>
      <w:tr>
        <w:tc>
          <w:tcPr>
            <w:tcW w:type="dxa" w:w="2160"/>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APPENDIX C</w:t>
            </w:r>
          </w:p>
        </w:tc>
        <w:tc>
          <w:tcPr>
            <w:tcW w:type="dxa" w:w="6048"/>
            <w:shd w:fill="FFFFFF"/>
            <w:tcMar>
              <w:top w:w="90" w:type="dxa"/>
              <w:bottom w:w="90" w:type="dxa"/>
              <w:left w:w="120" w:type="dxa"/>
              <w:right w:w="120" w:type="dxa"/>
            </w:tcMar>
            <w:vAlign w:val="center"/>
          </w:tcPr>
          <w:p>
            <w:pPr>
              <w:spacing w:before="0" w:after="0"/>
              <w:jc w:val="left"/>
            </w:pPr>
            <w:r>
              <w:rPr>
                <w:rFonts w:ascii="Times New Roman" w:hAnsi="Times New Roman"/>
                <w:color w:val="0F172A"/>
                <w:sz w:val="18"/>
              </w:rPr>
              <w:t>Full-Color Dashboard &amp; Operational Screenshots</w:t>
            </w:r>
          </w:p>
        </w:tc>
        <w:tc>
          <w:tcPr>
            <w:tcW w:type="dxa" w:w="1152"/>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37</w:t>
            </w:r>
          </w:p>
        </w:tc>
      </w:tr>
      <w:tr>
        <w:tc>
          <w:tcPr>
            <w:tcW w:type="dxa" w:w="2160"/>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APPENDIX D</w:t>
            </w:r>
          </w:p>
        </w:tc>
        <w:tc>
          <w:tcPr>
            <w:tcW w:type="dxa" w:w="6048"/>
            <w:shd w:fill="F8FAFC"/>
            <w:tcMar>
              <w:top w:w="90" w:type="dxa"/>
              <w:bottom w:w="90" w:type="dxa"/>
              <w:left w:w="120" w:type="dxa"/>
              <w:right w:w="120" w:type="dxa"/>
            </w:tcMar>
            <w:vAlign w:val="center"/>
          </w:tcPr>
          <w:p>
            <w:pPr>
              <w:spacing w:before="0" w:after="0"/>
              <w:jc w:val="left"/>
            </w:pPr>
            <w:r>
              <w:rPr>
                <w:rFonts w:ascii="Times New Roman" w:hAnsi="Times New Roman"/>
                <w:color w:val="0F172A"/>
                <w:sz w:val="18"/>
              </w:rPr>
              <w:t>Core System Source Code Listings</w:t>
            </w:r>
          </w:p>
        </w:tc>
        <w:tc>
          <w:tcPr>
            <w:tcW w:type="dxa" w:w="1152"/>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43</w:t>
            </w:r>
          </w:p>
        </w:tc>
      </w:tr>
    </w:tbl>
    <w:p>
      <w:pPr>
        <w:spacing w:before="0" w:after="120"/>
      </w:pPr>
    </w:p>
    <w:p>
      <w:r>
        <w:br w:type="page"/>
      </w:r>
    </w:p>
    <w:p>
      <w:pPr>
        <w:spacing w:before="0" w:after="160"/>
        <w:jc w:val="center"/>
      </w:pPr>
      <w:r>
        <w:drawing>
          <wp:inline xmlns:a="http://schemas.openxmlformats.org/drawingml/2006/main" xmlns:pic="http://schemas.openxmlformats.org/drawingml/2006/picture">
            <wp:extent cx="5669280" cy="726960"/>
            <wp:docPr id="7" name="Picture 7"/>
            <wp:cNvGraphicFramePr>
              <a:graphicFrameLocks noChangeAspect="1"/>
            </wp:cNvGraphicFramePr>
            <a:graphic>
              <a:graphicData uri="http://schemas.openxmlformats.org/drawingml/2006/picture">
                <pic:pic>
                  <pic:nvPicPr>
                    <pic:cNvPr id="0" name="image1.png"/>
                    <pic:cNvPicPr/>
                  </pic:nvPicPr>
                  <pic:blipFill>
                    <a:blip r:embed="rId9"/>
                    <a:stretch>
                      <a:fillRect/>
                    </a:stretch>
                  </pic:blipFill>
                  <pic:spPr>
                    <a:xfrm>
                      <a:off x="0" y="0"/>
                      <a:ext cx="5669280" cy="726960"/>
                    </a:xfrm>
                    <a:prstGeom prst="rect"/>
                  </pic:spPr>
                </pic:pic>
              </a:graphicData>
            </a:graphic>
          </wp:inline>
        </w:drawing>
      </w:r>
    </w:p>
    <w:p>
      <w:pPr>
        <w:spacing w:before="280" w:after="200"/>
        <w:jc w:val="center"/>
      </w:pPr>
      <w:r>
        <w:rPr>
          <w:rFonts w:ascii="Times New Roman" w:hAnsi="Times New Roman"/>
          <w:b/>
          <w:color w:val="163A5F"/>
          <w:sz w:val="28"/>
        </w:rPr>
        <w:t>LIST OF FIGURES</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CBD5E1"/>
          <w:insideV w:val="none"/>
          <w:left w:val="none"/>
          <w:right w:val="none"/>
        </w:tblBorders>
      </w:tblPr>
      <w:tblGrid>
        <w:gridCol w:w="3120"/>
        <w:gridCol w:w="3120"/>
        <w:gridCol w:w="3120"/>
      </w:tblGrid>
      <w:tr>
        <w:tc>
          <w:tcPr>
            <w:tcW w:type="dxa" w:w="1728"/>
            <w:shd w:fill="163A5F"/>
            <w:tcMar>
              <w:top w:w="120" w:type="dxa"/>
              <w:bottom w:w="120" w:type="dxa"/>
              <w:left w:w="120" w:type="dxa"/>
              <w:right w:w="120" w:type="dxa"/>
            </w:tcMar>
            <w:vAlign w:val="center"/>
          </w:tcPr>
          <w:p>
            <w:pPr>
              <w:spacing w:before="0" w:after="0"/>
              <w:jc w:val="center"/>
            </w:pPr>
            <w:r>
              <w:rPr>
                <w:rFonts w:ascii="Times New Roman" w:hAnsi="Times New Roman"/>
                <w:b/>
                <w:color w:val="FFFFFF"/>
                <w:sz w:val="19"/>
              </w:rPr>
              <w:t>Figure No.</w:t>
            </w:r>
          </w:p>
        </w:tc>
        <w:tc>
          <w:tcPr>
            <w:tcW w:type="dxa" w:w="6480"/>
            <w:shd w:fill="163A5F"/>
            <w:tcMar>
              <w:top w:w="120" w:type="dxa"/>
              <w:bottom w:w="120" w:type="dxa"/>
              <w:left w:w="120" w:type="dxa"/>
              <w:right w:w="120" w:type="dxa"/>
            </w:tcMar>
            <w:vAlign w:val="center"/>
          </w:tcPr>
          <w:p>
            <w:pPr>
              <w:spacing w:before="0" w:after="0"/>
              <w:jc w:val="center"/>
            </w:pPr>
            <w:r>
              <w:rPr>
                <w:rFonts w:ascii="Times New Roman" w:hAnsi="Times New Roman"/>
                <w:b/>
                <w:color w:val="FFFFFF"/>
                <w:sz w:val="19"/>
              </w:rPr>
              <w:t>Figure Caption</w:t>
            </w:r>
          </w:p>
        </w:tc>
        <w:tc>
          <w:tcPr>
            <w:tcW w:type="dxa" w:w="1152"/>
            <w:shd w:fill="163A5F"/>
            <w:tcMar>
              <w:top w:w="120" w:type="dxa"/>
              <w:bottom w:w="120" w:type="dxa"/>
              <w:left w:w="120" w:type="dxa"/>
              <w:right w:w="120" w:type="dxa"/>
            </w:tcMar>
            <w:vAlign w:val="center"/>
          </w:tcPr>
          <w:p>
            <w:pPr>
              <w:spacing w:before="0" w:after="0"/>
              <w:jc w:val="center"/>
            </w:pPr>
            <w:r>
              <w:rPr>
                <w:rFonts w:ascii="Times New Roman" w:hAnsi="Times New Roman"/>
                <w:b/>
                <w:color w:val="FFFFFF"/>
                <w:sz w:val="19"/>
              </w:rPr>
              <w:t>Page No.</w:t>
            </w:r>
          </w:p>
        </w:tc>
      </w:tr>
      <w:tr>
        <w:tc>
          <w:tcPr>
            <w:tcW w:type="dxa" w:w="1728"/>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Figure 1.1</w:t>
            </w:r>
          </w:p>
        </w:tc>
        <w:tc>
          <w:tcPr>
            <w:tcW w:type="dxa" w:w="6480"/>
            <w:shd w:fill="FFFFFF"/>
            <w:tcMar>
              <w:top w:w="90" w:type="dxa"/>
              <w:bottom w:w="90" w:type="dxa"/>
              <w:left w:w="120" w:type="dxa"/>
              <w:right w:w="120" w:type="dxa"/>
            </w:tcMar>
            <w:vAlign w:val="center"/>
          </w:tcPr>
          <w:p>
            <w:pPr>
              <w:spacing w:before="0" w:after="0"/>
              <w:jc w:val="left"/>
            </w:pPr>
            <w:r>
              <w:rPr>
                <w:rFonts w:ascii="Times New Roman" w:hAnsi="Times New Roman"/>
                <w:color w:val="0F172A"/>
                <w:sz w:val="18"/>
              </w:rPr>
              <w:t>PULSE CORE End-to-End Tiered Enterprise System Architecture</w:t>
            </w:r>
          </w:p>
        </w:tc>
        <w:tc>
          <w:tcPr>
            <w:tcW w:type="dxa" w:w="1152"/>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4</w:t>
            </w:r>
          </w:p>
        </w:tc>
      </w:tr>
      <w:tr>
        <w:tc>
          <w:tcPr>
            <w:tcW w:type="dxa" w:w="1728"/>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Figure 2.1</w:t>
            </w:r>
          </w:p>
        </w:tc>
        <w:tc>
          <w:tcPr>
            <w:tcW w:type="dxa" w:w="6480"/>
            <w:shd w:fill="F8FAFC"/>
            <w:tcMar>
              <w:top w:w="90" w:type="dxa"/>
              <w:bottom w:w="90" w:type="dxa"/>
              <w:left w:w="120" w:type="dxa"/>
              <w:right w:w="120" w:type="dxa"/>
            </w:tcMar>
            <w:vAlign w:val="center"/>
          </w:tcPr>
          <w:p>
            <w:pPr>
              <w:spacing w:before="0" w:after="0"/>
              <w:jc w:val="left"/>
            </w:pPr>
            <w:r>
              <w:rPr>
                <w:rFonts w:ascii="Times New Roman" w:hAnsi="Times New Roman"/>
                <w:color w:val="0F172A"/>
                <w:sz w:val="18"/>
              </w:rPr>
              <w:t>PostgreSQL Cost Model and Page Buffer Access Latency Curve</w:t>
            </w:r>
          </w:p>
        </w:tc>
        <w:tc>
          <w:tcPr>
            <w:tcW w:type="dxa" w:w="1152"/>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8</w:t>
            </w:r>
          </w:p>
        </w:tc>
      </w:tr>
      <w:tr>
        <w:tc>
          <w:tcPr>
            <w:tcW w:type="dxa" w:w="1728"/>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Figure 3.1</w:t>
            </w:r>
          </w:p>
        </w:tc>
        <w:tc>
          <w:tcPr>
            <w:tcW w:type="dxa" w:w="6480"/>
            <w:shd w:fill="FFFFFF"/>
            <w:tcMar>
              <w:top w:w="90" w:type="dxa"/>
              <w:bottom w:w="90" w:type="dxa"/>
              <w:left w:w="120" w:type="dxa"/>
              <w:right w:w="120" w:type="dxa"/>
            </w:tcMar>
            <w:vAlign w:val="center"/>
          </w:tcPr>
          <w:p>
            <w:pPr>
              <w:spacing w:before="0" w:after="0"/>
              <w:jc w:val="left"/>
            </w:pPr>
            <w:r>
              <w:rPr>
                <w:rFonts w:ascii="Times New Roman" w:hAnsi="Times New Roman"/>
                <w:color w:val="0F172A"/>
                <w:sz w:val="18"/>
              </w:rPr>
              <w:t>SQL AST Parsing, Security Guardrails, and Execution Pipeline</w:t>
            </w:r>
          </w:p>
        </w:tc>
        <w:tc>
          <w:tcPr>
            <w:tcW w:type="dxa" w:w="1152"/>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13</w:t>
            </w:r>
          </w:p>
        </w:tc>
      </w:tr>
      <w:tr>
        <w:tc>
          <w:tcPr>
            <w:tcW w:type="dxa" w:w="1728"/>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Figure 3.2</w:t>
            </w:r>
          </w:p>
        </w:tc>
        <w:tc>
          <w:tcPr>
            <w:tcW w:type="dxa" w:w="6480"/>
            <w:shd w:fill="F8FAFC"/>
            <w:tcMar>
              <w:top w:w="90" w:type="dxa"/>
              <w:bottom w:w="90" w:type="dxa"/>
              <w:left w:w="120" w:type="dxa"/>
              <w:right w:w="120" w:type="dxa"/>
            </w:tcMar>
            <w:vAlign w:val="center"/>
          </w:tcPr>
          <w:p>
            <w:pPr>
              <w:spacing w:before="0" w:after="0"/>
              <w:jc w:val="left"/>
            </w:pPr>
            <w:r>
              <w:rPr>
                <w:rFonts w:ascii="Times New Roman" w:hAnsi="Times New Roman"/>
                <w:color w:val="0F172A"/>
                <w:sz w:val="18"/>
              </w:rPr>
              <w:t>Adaptive Index Optimization &amp; A/B Benchmark Verification Lifecycle</w:t>
            </w:r>
          </w:p>
        </w:tc>
        <w:tc>
          <w:tcPr>
            <w:tcW w:type="dxa" w:w="1152"/>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15</w:t>
            </w:r>
          </w:p>
        </w:tc>
      </w:tr>
      <w:tr>
        <w:tc>
          <w:tcPr>
            <w:tcW w:type="dxa" w:w="1728"/>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Figure 3.3</w:t>
            </w:r>
          </w:p>
        </w:tc>
        <w:tc>
          <w:tcPr>
            <w:tcW w:type="dxa" w:w="6480"/>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3-Model Clinical Predictive ML Pipeline Architecture &amp; Comparison</w:t>
            </w:r>
          </w:p>
        </w:tc>
        <w:tc>
          <w:tcPr>
            <w:tcW w:type="dxa" w:w="1152"/>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17</w:t>
            </w:r>
          </w:p>
        </w:tc>
      </w:tr>
      <w:tr>
        <w:tc>
          <w:tcPr>
            <w:tcW w:type="dxa" w:w="1728"/>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Figure 3.4</w:t>
            </w:r>
          </w:p>
        </w:tc>
        <w:tc>
          <w:tcPr>
            <w:tcW w:type="dxa" w:w="6480"/>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Entity-Relationship Diagram (ERD) of 21 PostgreSQL Relational Tables</w:t>
            </w:r>
          </w:p>
        </w:tc>
        <w:tc>
          <w:tcPr>
            <w:tcW w:type="dxa" w:w="1152"/>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33</w:t>
            </w:r>
          </w:p>
        </w:tc>
      </w:tr>
      <w:tr>
        <w:tc>
          <w:tcPr>
            <w:tcW w:type="dxa" w:w="1728"/>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Figure 3.5</w:t>
            </w:r>
          </w:p>
        </w:tc>
        <w:tc>
          <w:tcPr>
            <w:tcW w:type="dxa" w:w="6480"/>
            <w:shd w:fill="FFFFFF"/>
            <w:tcMar>
              <w:top w:w="90" w:type="dxa"/>
              <w:bottom w:w="90" w:type="dxa"/>
              <w:left w:w="120" w:type="dxa"/>
              <w:right w:w="120" w:type="dxa"/>
            </w:tcMar>
            <w:vAlign w:val="center"/>
          </w:tcPr>
          <w:p>
            <w:pPr>
              <w:spacing w:before="0" w:after="0"/>
              <w:jc w:val="left"/>
            </w:pPr>
            <w:r>
              <w:rPr>
                <w:rFonts w:ascii="Times New Roman" w:hAnsi="Times New Roman"/>
                <w:color w:val="0F172A"/>
                <w:sz w:val="18"/>
              </w:rPr>
              <w:t>Adaptive Query Execution Plan Tree Flowchart</w:t>
            </w:r>
          </w:p>
        </w:tc>
        <w:tc>
          <w:tcPr>
            <w:tcW w:type="dxa" w:w="1152"/>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34</w:t>
            </w:r>
          </w:p>
        </w:tc>
      </w:tr>
      <w:tr>
        <w:tc>
          <w:tcPr>
            <w:tcW w:type="dxa" w:w="1728"/>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Figure C.1</w:t>
            </w:r>
          </w:p>
        </w:tc>
        <w:tc>
          <w:tcPr>
            <w:tcW w:type="dxa" w:w="6480"/>
            <w:shd w:fill="F8FAFC"/>
            <w:tcMar>
              <w:top w:w="90" w:type="dxa"/>
              <w:bottom w:w="90" w:type="dxa"/>
              <w:left w:w="120" w:type="dxa"/>
              <w:right w:w="120" w:type="dxa"/>
            </w:tcMar>
            <w:vAlign w:val="center"/>
          </w:tcPr>
          <w:p>
            <w:pPr>
              <w:spacing w:before="0" w:after="0"/>
              <w:jc w:val="left"/>
            </w:pPr>
            <w:r>
              <w:rPr>
                <w:rFonts w:ascii="Times New Roman" w:hAnsi="Times New Roman"/>
                <w:color w:val="0F172A"/>
                <w:sz w:val="18"/>
              </w:rPr>
              <w:t>Executive Clinical Operations &amp; Database KPI Dashboard</w:t>
            </w:r>
          </w:p>
        </w:tc>
        <w:tc>
          <w:tcPr>
            <w:tcW w:type="dxa" w:w="1152"/>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37</w:t>
            </w:r>
          </w:p>
        </w:tc>
      </w:tr>
      <w:tr>
        <w:tc>
          <w:tcPr>
            <w:tcW w:type="dxa" w:w="1728"/>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Figure C.2</w:t>
            </w:r>
          </w:p>
        </w:tc>
        <w:tc>
          <w:tcPr>
            <w:tcW w:type="dxa" w:w="6480"/>
            <w:shd w:fill="FFFFFF"/>
            <w:tcMar>
              <w:top w:w="90" w:type="dxa"/>
              <w:bottom w:w="90" w:type="dxa"/>
              <w:left w:w="120" w:type="dxa"/>
              <w:right w:w="120" w:type="dxa"/>
            </w:tcMar>
            <w:vAlign w:val="center"/>
          </w:tcPr>
          <w:p>
            <w:pPr>
              <w:spacing w:before="0" w:after="0"/>
              <w:jc w:val="left"/>
            </w:pPr>
            <w:r>
              <w:rPr>
                <w:rFonts w:ascii="Times New Roman" w:hAnsi="Times New Roman"/>
                <w:color w:val="0F172A"/>
                <w:sz w:val="18"/>
              </w:rPr>
              <w:t>Interactive SQL Query Workspace with ReactFlow Plan Visualizer</w:t>
            </w:r>
          </w:p>
        </w:tc>
        <w:tc>
          <w:tcPr>
            <w:tcW w:type="dxa" w:w="1152"/>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38</w:t>
            </w:r>
          </w:p>
        </w:tc>
      </w:tr>
      <w:tr>
        <w:tc>
          <w:tcPr>
            <w:tcW w:type="dxa" w:w="1728"/>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Figure C.3</w:t>
            </w:r>
          </w:p>
        </w:tc>
        <w:tc>
          <w:tcPr>
            <w:tcW w:type="dxa" w:w="6480"/>
            <w:shd w:fill="F8FAFC"/>
            <w:tcMar>
              <w:top w:w="90" w:type="dxa"/>
              <w:bottom w:w="90" w:type="dxa"/>
              <w:left w:w="120" w:type="dxa"/>
              <w:right w:w="120" w:type="dxa"/>
            </w:tcMar>
            <w:vAlign w:val="center"/>
          </w:tcPr>
          <w:p>
            <w:pPr>
              <w:spacing w:before="0" w:after="0"/>
              <w:jc w:val="left"/>
            </w:pPr>
            <w:r>
              <w:rPr>
                <w:rFonts w:ascii="Times New Roman" w:hAnsi="Times New Roman"/>
                <w:color w:val="0F172A"/>
                <w:sz w:val="18"/>
              </w:rPr>
              <w:t>Adaptive Query Optimizer with Automated A/B Performance Benchmark</w:t>
            </w:r>
          </w:p>
        </w:tc>
        <w:tc>
          <w:tcPr>
            <w:tcW w:type="dxa" w:w="1152"/>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39</w:t>
            </w:r>
          </w:p>
        </w:tc>
      </w:tr>
      <w:tr>
        <w:tc>
          <w:tcPr>
            <w:tcW w:type="dxa" w:w="1728"/>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Figure C.4</w:t>
            </w:r>
          </w:p>
        </w:tc>
        <w:tc>
          <w:tcPr>
            <w:tcW w:type="dxa" w:w="6480"/>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3-Model Machine Learning Predictive Risk Analytics Dashboard</w:t>
            </w:r>
          </w:p>
        </w:tc>
        <w:tc>
          <w:tcPr>
            <w:tcW w:type="dxa" w:w="1152"/>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40</w:t>
            </w:r>
          </w:p>
        </w:tc>
      </w:tr>
      <w:tr>
        <w:tc>
          <w:tcPr>
            <w:tcW w:type="dxa" w:w="1728"/>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Figure C.5</w:t>
            </w:r>
          </w:p>
        </w:tc>
        <w:tc>
          <w:tcPr>
            <w:tcW w:type="dxa" w:w="6480"/>
            <w:shd w:fill="F8FAFC"/>
            <w:tcMar>
              <w:top w:w="90" w:type="dxa"/>
              <w:bottom w:w="90" w:type="dxa"/>
              <w:left w:w="120" w:type="dxa"/>
              <w:right w:w="120" w:type="dxa"/>
            </w:tcMar>
            <w:vAlign w:val="center"/>
          </w:tcPr>
          <w:p>
            <w:pPr>
              <w:spacing w:before="0" w:after="0"/>
              <w:jc w:val="left"/>
            </w:pPr>
            <w:r>
              <w:rPr>
                <w:rFonts w:ascii="Times New Roman" w:hAnsi="Times New Roman"/>
                <w:color w:val="0F172A"/>
                <w:sz w:val="18"/>
              </w:rPr>
              <w:t>Live Ward &amp; ICU Vital Signs Telemetry Stream Interface</w:t>
            </w:r>
          </w:p>
        </w:tc>
        <w:tc>
          <w:tcPr>
            <w:tcW w:type="dxa" w:w="1152"/>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41</w:t>
            </w:r>
          </w:p>
        </w:tc>
      </w:tr>
      <w:tr>
        <w:tc>
          <w:tcPr>
            <w:tcW w:type="dxa" w:w="1728"/>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Figure C.6</w:t>
            </w:r>
          </w:p>
        </w:tc>
        <w:tc>
          <w:tcPr>
            <w:tcW w:type="dxa" w:w="6480"/>
            <w:shd w:fill="FFFFFF"/>
            <w:tcMar>
              <w:top w:w="90" w:type="dxa"/>
              <w:bottom w:w="90" w:type="dxa"/>
              <w:left w:w="120" w:type="dxa"/>
              <w:right w:w="120" w:type="dxa"/>
            </w:tcMar>
            <w:vAlign w:val="center"/>
          </w:tcPr>
          <w:p>
            <w:pPr>
              <w:spacing w:before="0" w:after="0"/>
              <w:jc w:val="left"/>
            </w:pPr>
            <w:r>
              <w:rPr>
                <w:rFonts w:ascii="Times New Roman" w:hAnsi="Times New Roman"/>
                <w:color w:val="0F172A"/>
                <w:sz w:val="18"/>
              </w:rPr>
              <w:t>Longitudinal Patient Clinical Registry &amp; Medical Profile View</w:t>
            </w:r>
          </w:p>
        </w:tc>
        <w:tc>
          <w:tcPr>
            <w:tcW w:type="dxa" w:w="1152"/>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41</w:t>
            </w:r>
          </w:p>
        </w:tc>
      </w:tr>
      <w:tr>
        <w:tc>
          <w:tcPr>
            <w:tcW w:type="dxa" w:w="1728"/>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Figure C.7</w:t>
            </w:r>
          </w:p>
        </w:tc>
        <w:tc>
          <w:tcPr>
            <w:tcW w:type="dxa" w:w="6480"/>
            <w:shd w:fill="F8FAFC"/>
            <w:tcMar>
              <w:top w:w="90" w:type="dxa"/>
              <w:bottom w:w="90" w:type="dxa"/>
              <w:left w:w="120" w:type="dxa"/>
              <w:right w:w="120" w:type="dxa"/>
            </w:tcMar>
            <w:vAlign w:val="center"/>
          </w:tcPr>
          <w:p>
            <w:pPr>
              <w:spacing w:before="0" w:after="0"/>
              <w:jc w:val="left"/>
            </w:pPr>
            <w:r>
              <w:rPr>
                <w:rFonts w:ascii="Times New Roman" w:hAnsi="Times New Roman"/>
                <w:color w:val="0F172A"/>
                <w:sz w:val="18"/>
              </w:rPr>
              <w:t>Hospital Inpatient Admissions &amp; Ward Bed Census Management</w:t>
            </w:r>
          </w:p>
        </w:tc>
        <w:tc>
          <w:tcPr>
            <w:tcW w:type="dxa" w:w="1152"/>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42</w:t>
            </w:r>
          </w:p>
        </w:tc>
      </w:tr>
      <w:tr>
        <w:tc>
          <w:tcPr>
            <w:tcW w:type="dxa" w:w="1728"/>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Figure C.8</w:t>
            </w:r>
          </w:p>
        </w:tc>
        <w:tc>
          <w:tcPr>
            <w:tcW w:type="dxa" w:w="6480"/>
            <w:shd w:fill="FFFFFF"/>
            <w:tcMar>
              <w:top w:w="90" w:type="dxa"/>
              <w:bottom w:w="90" w:type="dxa"/>
              <w:left w:w="120" w:type="dxa"/>
              <w:right w:w="120" w:type="dxa"/>
            </w:tcMar>
            <w:vAlign w:val="center"/>
          </w:tcPr>
          <w:p>
            <w:pPr>
              <w:spacing w:before="0" w:after="0"/>
              <w:jc w:val="left"/>
            </w:pPr>
            <w:r>
              <w:rPr>
                <w:rFonts w:ascii="Times New Roman" w:hAnsi="Times New Roman"/>
                <w:color w:val="0F172A"/>
                <w:sz w:val="18"/>
              </w:rPr>
              <w:t>Clinical Early Warning Alerts &amp; Diagnostic Escalation Center</w:t>
            </w:r>
          </w:p>
        </w:tc>
        <w:tc>
          <w:tcPr>
            <w:tcW w:type="dxa" w:w="1152"/>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42</w:t>
            </w:r>
          </w:p>
        </w:tc>
      </w:tr>
      <w:tr>
        <w:tc>
          <w:tcPr>
            <w:tcW w:type="dxa" w:w="1728"/>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Figure C.9</w:t>
            </w:r>
          </w:p>
        </w:tc>
        <w:tc>
          <w:tcPr>
            <w:tcW w:type="dxa" w:w="6480"/>
            <w:shd w:fill="F8FAFC"/>
            <w:tcMar>
              <w:top w:w="90" w:type="dxa"/>
              <w:bottom w:w="90" w:type="dxa"/>
              <w:left w:w="120" w:type="dxa"/>
              <w:right w:w="120" w:type="dxa"/>
            </w:tcMar>
            <w:vAlign w:val="center"/>
          </w:tcPr>
          <w:p>
            <w:pPr>
              <w:spacing w:before="0" w:after="0"/>
              <w:jc w:val="left"/>
            </w:pPr>
            <w:r>
              <w:rPr>
                <w:rFonts w:ascii="Times New Roman" w:hAnsi="Times New Roman"/>
                <w:color w:val="0F172A"/>
                <w:sz w:val="18"/>
              </w:rPr>
              <w:t>Immutable Security Audit Trail &amp; Access Governance Log</w:t>
            </w:r>
          </w:p>
        </w:tc>
        <w:tc>
          <w:tcPr>
            <w:tcW w:type="dxa" w:w="1152"/>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43</w:t>
            </w:r>
          </w:p>
        </w:tc>
      </w:tr>
      <w:tr>
        <w:tc>
          <w:tcPr>
            <w:tcW w:type="dxa" w:w="1728"/>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Figure C.10</w:t>
            </w:r>
          </w:p>
        </w:tc>
        <w:tc>
          <w:tcPr>
            <w:tcW w:type="dxa" w:w="6480"/>
            <w:shd w:fill="FFFFFF"/>
            <w:tcMar>
              <w:top w:w="90" w:type="dxa"/>
              <w:bottom w:w="90" w:type="dxa"/>
              <w:left w:w="120" w:type="dxa"/>
              <w:right w:w="120" w:type="dxa"/>
            </w:tcMar>
            <w:vAlign w:val="center"/>
          </w:tcPr>
          <w:p>
            <w:pPr>
              <w:spacing w:before="0" w:after="0"/>
              <w:jc w:val="left"/>
            </w:pPr>
            <w:r>
              <w:rPr>
                <w:rFonts w:ascii="Times New Roman" w:hAnsi="Times New Roman"/>
                <w:color w:val="0F172A"/>
                <w:sz w:val="18"/>
              </w:rPr>
              <w:t>System Infrastructure Health &amp; Database Connection Telemetry</w:t>
            </w:r>
          </w:p>
        </w:tc>
        <w:tc>
          <w:tcPr>
            <w:tcW w:type="dxa" w:w="1152"/>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43</w:t>
            </w:r>
          </w:p>
        </w:tc>
      </w:tr>
    </w:tbl>
    <w:p>
      <w:pPr>
        <w:spacing w:before="0" w:after="120"/>
      </w:pPr>
    </w:p>
    <w:p>
      <w:pPr>
        <w:spacing w:before="320" w:after="200"/>
        <w:jc w:val="center"/>
      </w:pPr>
      <w:r>
        <w:rPr>
          <w:rFonts w:ascii="Times New Roman" w:hAnsi="Times New Roman"/>
          <w:b/>
          <w:color w:val="163A5F"/>
          <w:sz w:val="28"/>
        </w:rPr>
        <w:t>LIST OF TABLES</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CBD5E1"/>
          <w:insideV w:val="none"/>
          <w:left w:val="none"/>
          <w:right w:val="none"/>
        </w:tblBorders>
      </w:tblPr>
      <w:tblGrid>
        <w:gridCol w:w="3120"/>
        <w:gridCol w:w="3120"/>
        <w:gridCol w:w="3120"/>
      </w:tblGrid>
      <w:tr>
        <w:tc>
          <w:tcPr>
            <w:tcW w:type="dxa" w:w="1728"/>
            <w:shd w:fill="163A5F"/>
            <w:tcMar>
              <w:top w:w="120" w:type="dxa"/>
              <w:bottom w:w="120" w:type="dxa"/>
              <w:left w:w="120" w:type="dxa"/>
              <w:right w:w="120" w:type="dxa"/>
            </w:tcMar>
            <w:vAlign w:val="center"/>
          </w:tcPr>
          <w:p>
            <w:pPr>
              <w:spacing w:before="0" w:after="0"/>
              <w:jc w:val="center"/>
            </w:pPr>
            <w:r>
              <w:rPr>
                <w:rFonts w:ascii="Times New Roman" w:hAnsi="Times New Roman"/>
                <w:b/>
                <w:color w:val="FFFFFF"/>
                <w:sz w:val="19"/>
              </w:rPr>
              <w:t>Table No.</w:t>
            </w:r>
          </w:p>
        </w:tc>
        <w:tc>
          <w:tcPr>
            <w:tcW w:type="dxa" w:w="6480"/>
            <w:shd w:fill="163A5F"/>
            <w:tcMar>
              <w:top w:w="120" w:type="dxa"/>
              <w:bottom w:w="120" w:type="dxa"/>
              <w:left w:w="120" w:type="dxa"/>
              <w:right w:w="120" w:type="dxa"/>
            </w:tcMar>
            <w:vAlign w:val="center"/>
          </w:tcPr>
          <w:p>
            <w:pPr>
              <w:spacing w:before="0" w:after="0"/>
              <w:jc w:val="center"/>
            </w:pPr>
            <w:r>
              <w:rPr>
                <w:rFonts w:ascii="Times New Roman" w:hAnsi="Times New Roman"/>
                <w:b/>
                <w:color w:val="FFFFFF"/>
                <w:sz w:val="19"/>
              </w:rPr>
              <w:t>Table Caption</w:t>
            </w:r>
          </w:p>
        </w:tc>
        <w:tc>
          <w:tcPr>
            <w:tcW w:type="dxa" w:w="1152"/>
            <w:shd w:fill="163A5F"/>
            <w:tcMar>
              <w:top w:w="120" w:type="dxa"/>
              <w:bottom w:w="120" w:type="dxa"/>
              <w:left w:w="120" w:type="dxa"/>
              <w:right w:w="120" w:type="dxa"/>
            </w:tcMar>
            <w:vAlign w:val="center"/>
          </w:tcPr>
          <w:p>
            <w:pPr>
              <w:spacing w:before="0" w:after="0"/>
              <w:jc w:val="center"/>
            </w:pPr>
            <w:r>
              <w:rPr>
                <w:rFonts w:ascii="Times New Roman" w:hAnsi="Times New Roman"/>
                <w:b/>
                <w:color w:val="FFFFFF"/>
                <w:sz w:val="19"/>
              </w:rPr>
              <w:t>Page No.</w:t>
            </w:r>
          </w:p>
        </w:tc>
      </w:tr>
      <w:tr>
        <w:tc>
          <w:tcPr>
            <w:tcW w:type="dxa" w:w="1728"/>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Table 1.1</w:t>
            </w:r>
          </w:p>
        </w:tc>
        <w:tc>
          <w:tcPr>
            <w:tcW w:type="dxa" w:w="6480"/>
            <w:shd w:fill="FFFFFF"/>
            <w:tcMar>
              <w:top w:w="90" w:type="dxa"/>
              <w:bottom w:w="90" w:type="dxa"/>
              <w:left w:w="120" w:type="dxa"/>
              <w:right w:w="120" w:type="dxa"/>
            </w:tcMar>
            <w:vAlign w:val="center"/>
          </w:tcPr>
          <w:p>
            <w:pPr>
              <w:spacing w:before="0" w:after="0"/>
              <w:jc w:val="left"/>
            </w:pPr>
            <w:r>
              <w:rPr>
                <w:rFonts w:ascii="Times New Roman" w:hAnsi="Times New Roman"/>
                <w:color w:val="0F172A"/>
                <w:sz w:val="18"/>
              </w:rPr>
              <w:t>Hardware and Computational Environment Specifications</w:t>
            </w:r>
          </w:p>
        </w:tc>
        <w:tc>
          <w:tcPr>
            <w:tcW w:type="dxa" w:w="1152"/>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11</w:t>
            </w:r>
          </w:p>
        </w:tc>
      </w:tr>
      <w:tr>
        <w:tc>
          <w:tcPr>
            <w:tcW w:type="dxa" w:w="1728"/>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Table 3.1</w:t>
            </w:r>
          </w:p>
        </w:tc>
        <w:tc>
          <w:tcPr>
            <w:tcW w:type="dxa" w:w="6480"/>
            <w:shd w:fill="F8FAFC"/>
            <w:tcMar>
              <w:top w:w="90" w:type="dxa"/>
              <w:bottom w:w="90" w:type="dxa"/>
              <w:left w:w="120" w:type="dxa"/>
              <w:right w:w="120" w:type="dxa"/>
            </w:tcMar>
            <w:vAlign w:val="center"/>
          </w:tcPr>
          <w:p>
            <w:pPr>
              <w:spacing w:before="0" w:after="0"/>
              <w:jc w:val="left"/>
            </w:pPr>
            <w:r>
              <w:rPr>
                <w:rFonts w:ascii="Times New Roman" w:hAnsi="Times New Roman"/>
                <w:color w:val="0F172A"/>
                <w:sz w:val="18"/>
              </w:rPr>
              <w:t>Healthcare Analytics Relational Database Entity Cardinality &amp; Schema</w:t>
            </w:r>
          </w:p>
        </w:tc>
        <w:tc>
          <w:tcPr>
            <w:tcW w:type="dxa" w:w="1152"/>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12</w:t>
            </w:r>
          </w:p>
        </w:tc>
      </w:tr>
      <w:tr>
        <w:tc>
          <w:tcPr>
            <w:tcW w:type="dxa" w:w="1728"/>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Table 3.2</w:t>
            </w:r>
          </w:p>
        </w:tc>
        <w:tc>
          <w:tcPr>
            <w:tcW w:type="dxa" w:w="6480"/>
            <w:shd w:fill="FFFFFF"/>
            <w:tcMar>
              <w:top w:w="90" w:type="dxa"/>
              <w:bottom w:w="90" w:type="dxa"/>
              <w:left w:w="120" w:type="dxa"/>
              <w:right w:w="120" w:type="dxa"/>
            </w:tcMar>
            <w:vAlign w:val="center"/>
          </w:tcPr>
          <w:p>
            <w:pPr>
              <w:spacing w:before="0" w:after="0"/>
              <w:jc w:val="left"/>
            </w:pPr>
            <w:r>
              <w:rPr>
                <w:rFonts w:ascii="Times New Roman" w:hAnsi="Times New Roman"/>
                <w:color w:val="0F172A"/>
                <w:sz w:val="18"/>
              </w:rPr>
              <w:t>SQL AST Security Guardrail Rules and Function Blacklist</w:t>
            </w:r>
          </w:p>
        </w:tc>
        <w:tc>
          <w:tcPr>
            <w:tcW w:type="dxa" w:w="1152"/>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14</w:t>
            </w:r>
          </w:p>
        </w:tc>
      </w:tr>
      <w:tr>
        <w:tc>
          <w:tcPr>
            <w:tcW w:type="dxa" w:w="1728"/>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Table 4.1</w:t>
            </w:r>
          </w:p>
        </w:tc>
        <w:tc>
          <w:tcPr>
            <w:tcW w:type="dxa" w:w="6480"/>
            <w:shd w:fill="F8FAFC"/>
            <w:tcMar>
              <w:top w:w="90" w:type="dxa"/>
              <w:bottom w:w="90" w:type="dxa"/>
              <w:left w:w="120" w:type="dxa"/>
              <w:right w:w="120" w:type="dxa"/>
            </w:tcMar>
            <w:vAlign w:val="center"/>
          </w:tcPr>
          <w:p>
            <w:pPr>
              <w:spacing w:before="0" w:after="0"/>
              <w:jc w:val="left"/>
            </w:pPr>
            <w:r>
              <w:rPr>
                <w:rFonts w:ascii="Times New Roman" w:hAnsi="Times New Roman"/>
                <w:color w:val="0F172A"/>
                <w:sz w:val="18"/>
              </w:rPr>
              <w:t>Empirical Query Execution Benchmark Latency &amp; Speedup Comparison</w:t>
            </w:r>
          </w:p>
        </w:tc>
        <w:tc>
          <w:tcPr>
            <w:tcW w:type="dxa" w:w="1152"/>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23</w:t>
            </w:r>
          </w:p>
        </w:tc>
      </w:tr>
      <w:tr>
        <w:tc>
          <w:tcPr>
            <w:tcW w:type="dxa" w:w="1728"/>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Table 4.2</w:t>
            </w:r>
          </w:p>
        </w:tc>
        <w:tc>
          <w:tcPr>
            <w:tcW w:type="dxa" w:w="6480"/>
            <w:shd w:fill="FFFFFF"/>
            <w:tcMar>
              <w:top w:w="90" w:type="dxa"/>
              <w:bottom w:w="90" w:type="dxa"/>
              <w:left w:w="120" w:type="dxa"/>
              <w:right w:w="120" w:type="dxa"/>
            </w:tcMar>
            <w:vAlign w:val="center"/>
          </w:tcPr>
          <w:p>
            <w:pPr>
              <w:spacing w:before="0" w:after="0"/>
              <w:jc w:val="left"/>
            </w:pPr>
            <w:r>
              <w:rPr>
                <w:rFonts w:ascii="Times New Roman" w:hAnsi="Times New Roman"/>
                <w:color w:val="0F172A"/>
                <w:sz w:val="18"/>
              </w:rPr>
              <w:t>PostgreSQL Shared Buffer Cache Hit vs Disk Block Read Reduction</w:t>
            </w:r>
          </w:p>
        </w:tc>
        <w:tc>
          <w:tcPr>
            <w:tcW w:type="dxa" w:w="1152"/>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24</w:t>
            </w:r>
          </w:p>
        </w:tc>
      </w:tr>
      <w:tr>
        <w:tc>
          <w:tcPr>
            <w:tcW w:type="dxa" w:w="1728"/>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Table 4.3</w:t>
            </w:r>
          </w:p>
        </w:tc>
        <w:tc>
          <w:tcPr>
            <w:tcW w:type="dxa" w:w="6480"/>
            <w:shd w:fill="F8FAFC"/>
            <w:tcMar>
              <w:top w:w="90" w:type="dxa"/>
              <w:bottom w:w="90" w:type="dxa"/>
              <w:left w:w="120" w:type="dxa"/>
              <w:right w:w="120" w:type="dxa"/>
            </w:tcMar>
            <w:vAlign w:val="center"/>
          </w:tcPr>
          <w:p>
            <w:pPr>
              <w:spacing w:before="0" w:after="0"/>
              <w:jc w:val="left"/>
            </w:pPr>
            <w:r>
              <w:rPr>
                <w:rFonts w:ascii="Times New Roman" w:hAnsi="Times New Roman"/>
                <w:color w:val="0F172A"/>
                <w:sz w:val="18"/>
              </w:rPr>
              <w:t>Comparative Machine Learning Model Performance Metrics</w:t>
            </w:r>
          </w:p>
        </w:tc>
        <w:tc>
          <w:tcPr>
            <w:tcW w:type="dxa" w:w="1152"/>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24</w:t>
            </w:r>
          </w:p>
        </w:tc>
      </w:tr>
      <w:tr>
        <w:tc>
          <w:tcPr>
            <w:tcW w:type="dxa" w:w="1728"/>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Table 4.4</w:t>
            </w:r>
          </w:p>
        </w:tc>
        <w:tc>
          <w:tcPr>
            <w:tcW w:type="dxa" w:w="6480"/>
            <w:shd w:fill="FFFFFF"/>
            <w:tcMar>
              <w:top w:w="90" w:type="dxa"/>
              <w:bottom w:w="90" w:type="dxa"/>
              <w:left w:w="120" w:type="dxa"/>
              <w:right w:w="120" w:type="dxa"/>
            </w:tcMar>
            <w:vAlign w:val="center"/>
          </w:tcPr>
          <w:p>
            <w:pPr>
              <w:spacing w:before="0" w:after="0"/>
              <w:jc w:val="left"/>
            </w:pPr>
            <w:r>
              <w:rPr>
                <w:rFonts w:ascii="Times New Roman" w:hAnsi="Times New Roman"/>
                <w:color w:val="0F172A"/>
                <w:sz w:val="18"/>
              </w:rPr>
              <w:t>Feature Importance &amp; Predictive Clinical Risk Attribution Weights</w:t>
            </w:r>
          </w:p>
        </w:tc>
        <w:tc>
          <w:tcPr>
            <w:tcW w:type="dxa" w:w="1152"/>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25</w:t>
            </w:r>
          </w:p>
        </w:tc>
      </w:tr>
      <w:tr>
        <w:tc>
          <w:tcPr>
            <w:tcW w:type="dxa" w:w="1728"/>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Table B.1</w:t>
            </w:r>
          </w:p>
        </w:tc>
        <w:tc>
          <w:tcPr>
            <w:tcW w:type="dxa" w:w="6480"/>
            <w:shd w:fill="F8FAFC"/>
            <w:tcMar>
              <w:top w:w="90" w:type="dxa"/>
              <w:bottom w:w="90" w:type="dxa"/>
              <w:left w:w="120" w:type="dxa"/>
              <w:right w:w="120" w:type="dxa"/>
            </w:tcMar>
            <w:vAlign w:val="center"/>
          </w:tcPr>
          <w:p>
            <w:pPr>
              <w:spacing w:before="0" w:after="0"/>
              <w:jc w:val="left"/>
            </w:pPr>
            <w:r>
              <w:rPr>
                <w:rFonts w:ascii="Times New Roman" w:hAnsi="Times New Roman"/>
                <w:color w:val="0F172A"/>
                <w:sz w:val="18"/>
              </w:rPr>
              <w:t>Multi-Pass A/B Benchmark Execution Telemetry Across Workloads</w:t>
            </w:r>
          </w:p>
        </w:tc>
        <w:tc>
          <w:tcPr>
            <w:tcW w:type="dxa" w:w="1152"/>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35</w:t>
            </w:r>
          </w:p>
        </w:tc>
      </w:tr>
      <w:tr>
        <w:tc>
          <w:tcPr>
            <w:tcW w:type="dxa" w:w="1728"/>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Table B.2</w:t>
            </w:r>
          </w:p>
        </w:tc>
        <w:tc>
          <w:tcPr>
            <w:tcW w:type="dxa" w:w="6480"/>
            <w:shd w:fill="FFFFFF"/>
            <w:tcMar>
              <w:top w:w="90" w:type="dxa"/>
              <w:bottom w:w="90" w:type="dxa"/>
              <w:left w:w="120" w:type="dxa"/>
              <w:right w:w="120" w:type="dxa"/>
            </w:tcMar>
            <w:vAlign w:val="center"/>
          </w:tcPr>
          <w:p>
            <w:pPr>
              <w:spacing w:before="0" w:after="0"/>
              <w:jc w:val="left"/>
            </w:pPr>
            <w:r>
              <w:rPr>
                <w:rFonts w:ascii="Times New Roman" w:hAnsi="Times New Roman"/>
                <w:color w:val="0F172A"/>
                <w:sz w:val="18"/>
              </w:rPr>
              <w:t>System Scalability &amp; Concurrent Query Load Stress Test Results</w:t>
            </w:r>
          </w:p>
        </w:tc>
        <w:tc>
          <w:tcPr>
            <w:tcW w:type="dxa" w:w="1152"/>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36</w:t>
            </w:r>
          </w:p>
        </w:tc>
      </w:tr>
    </w:tbl>
    <w:p>
      <w:pPr>
        <w:spacing w:before="0" w:after="120"/>
      </w:pPr>
    </w:p>
    <w:p>
      <w:r>
        <w:br w:type="page"/>
      </w:r>
    </w:p>
    <w:p>
      <w:pPr>
        <w:keepNext/>
        <w:spacing w:before="360" w:after="120"/>
      </w:pPr>
      <w:r>
        <w:rPr>
          <w:rFonts w:ascii="Times New Roman" w:hAnsi="Times New Roman"/>
          <w:b/>
          <w:color w:val="163A5F"/>
          <w:sz w:val="28"/>
        </w:rPr>
        <w:t>CHAPTER 1: INTRODUCTION</w:t>
      </w:r>
    </w:p>
    <w:p>
      <w:pPr>
        <w:keepNext/>
        <w:spacing w:before="240" w:after="80"/>
      </w:pPr>
      <w:r>
        <w:rPr>
          <w:rFonts w:ascii="Times New Roman" w:hAnsi="Times New Roman"/>
          <w:b/>
          <w:color w:val="0E7490"/>
          <w:sz w:val="25"/>
        </w:rPr>
        <w:t>1.1 Background Information</w:t>
      </w:r>
    </w:p>
    <w:p>
      <w:pPr>
        <w:spacing w:before="0" w:after="120" w:line="276" w:lineRule="auto"/>
        <w:jc w:val="both"/>
      </w:pPr>
      <w:r>
        <w:rPr>
          <w:rFonts w:ascii="Times New Roman" w:hAnsi="Times New Roman"/>
          <w:color w:val="0F172A"/>
          <w:sz w:val="22"/>
        </w:rPr>
        <w:t>In modern tertiary healthcare facilities, hospital information systems (HIS) and Electronic Health Record (EHR) platforms serve as the technological backbone for patient care, longitudinal disease tracking, and resource allocation. These platforms aggregate high-velocity heterogeneous data streams, ranging from second-by-second physiological vitals captured in Intensive Care Units (ICUs) to diagnostic imaging metadata, multi-panel laboratory assays, and pharmaceutical dispensing logs. As hospital repositories expand into millions of records, the ability to execute high-throughput, low-latency analytical queries becomes imperative for both administrative governance and real-time clinical decision support.</w:t>
      </w:r>
    </w:p>
    <w:p>
      <w:pPr>
        <w:spacing w:before="0" w:after="120" w:line="276" w:lineRule="auto"/>
        <w:jc w:val="both"/>
      </w:pPr>
      <w:r>
        <w:rPr>
          <w:rFonts w:ascii="Times New Roman" w:hAnsi="Times New Roman"/>
          <w:color w:val="0F172A"/>
          <w:sz w:val="22"/>
        </w:rPr>
        <w:t>However, relational database engines such as PostgreSQL frequently encounter severe performance degradation when processing ad-hoc clinical queries. These queries routinely span five or more normalized tables involving complex aggregations, time-window partitions, and multi-column filtering predicates. In the absence of targeted composite indexing, the database query planner is forced to fall back on sequential table scans (Seq Scans), causing expensive disk block reads, buffer cache thrashing, and prolonged CPU lock contention. For emergency physicians and critical care specialists, query latency delays of several seconds or minutes can directly compromise clinical triage, delay sepsis intervention, and degrade patient outcomes.</w:t>
      </w:r>
    </w:p>
    <w:p>
      <w:pPr>
        <w:spacing w:before="0" w:after="120" w:line="276" w:lineRule="auto"/>
        <w:jc w:val="both"/>
      </w:pPr>
      <w:r>
        <w:rPr>
          <w:rFonts w:ascii="Times New Roman" w:hAnsi="Times New Roman"/>
          <w:color w:val="0F172A"/>
          <w:sz w:val="22"/>
        </w:rPr>
        <w:t>The academic discipline of Query Processing using Data Analysis (Course Code: DSA0501) focuses on the algorithmic mechanics of query evaluation, cost-based estimation models, index access structures, and workload optimization. PULSE CORE is engineered to apply these advanced principles directly to the high-stakes domain of healthcare data analytics.</w:t>
      </w:r>
    </w:p>
    <w:p>
      <w:pPr>
        <w:keepNext/>
        <w:spacing w:before="240" w:after="80"/>
      </w:pPr>
      <w:r>
        <w:rPr>
          <w:rFonts w:ascii="Times New Roman" w:hAnsi="Times New Roman"/>
          <w:b/>
          <w:color w:val="0E7490"/>
          <w:sz w:val="25"/>
        </w:rPr>
        <w:t>1.2 Project Objectives</w:t>
      </w:r>
    </w:p>
    <w:p>
      <w:pPr>
        <w:spacing w:before="0" w:after="120" w:line="276" w:lineRule="auto"/>
        <w:jc w:val="both"/>
      </w:pPr>
      <w:r>
        <w:rPr>
          <w:rFonts w:ascii="Times New Roman" w:hAnsi="Times New Roman"/>
          <w:color w:val="0F172A"/>
          <w:sz w:val="22"/>
        </w:rPr>
        <w:t>The primary objectives of this Capstone Project are as follows:</w:t>
      </w:r>
    </w:p>
    <w:p>
      <w:pPr>
        <w:pStyle w:val="ListBullet"/>
        <w:spacing w:before="20" w:after="60" w:line="276" w:lineRule="auto"/>
        <w:jc w:val="both"/>
      </w:pPr>
      <w:r>
        <w:rPr>
          <w:rFonts w:ascii="Times New Roman" w:hAnsi="Times New Roman"/>
          <w:b/>
          <w:color w:val="0F172A"/>
          <w:sz w:val="22"/>
        </w:rPr>
        <w:t xml:space="preserve">1. Relational Schema Architecture: </w:t>
      </w:r>
      <w:r>
        <w:rPr>
          <w:rFonts w:ascii="Times New Roman" w:hAnsi="Times New Roman"/>
          <w:color w:val="0F172A"/>
          <w:sz w:val="22"/>
        </w:rPr>
        <w:t>To design and implement a normalized, enterprise-grade relational healthcare database schema in PostgreSQL 16 encompassing 21 interconnected base tables that accurately reflect inpatient hospital operations.</w:t>
      </w:r>
    </w:p>
    <w:p>
      <w:pPr>
        <w:pStyle w:val="ListBullet"/>
        <w:spacing w:before="20" w:after="60" w:line="276" w:lineRule="auto"/>
        <w:jc w:val="both"/>
      </w:pPr>
      <w:r>
        <w:rPr>
          <w:rFonts w:ascii="Times New Roman" w:hAnsi="Times New Roman"/>
          <w:b/>
          <w:color w:val="0F172A"/>
          <w:sz w:val="22"/>
        </w:rPr>
        <w:t xml:space="preserve">2. AST Query Security Guardrails: </w:t>
      </w:r>
      <w:r>
        <w:rPr>
          <w:rFonts w:ascii="Times New Roman" w:hAnsi="Times New Roman"/>
          <w:color w:val="0F172A"/>
          <w:sz w:val="22"/>
        </w:rPr>
        <w:t>To construct an Abstract Syntax Tree (AST) parsing and validation engine using SQLGlot that strictly enforces read-only single-statement SELECT and CTE queries, while programmatically blocking dangerous DDL/DML operations and administrative PostgreSQL system calls.</w:t>
      </w:r>
    </w:p>
    <w:p>
      <w:pPr>
        <w:pStyle w:val="ListBullet"/>
        <w:spacing w:before="20" w:after="60" w:line="276" w:lineRule="auto"/>
        <w:jc w:val="both"/>
      </w:pPr>
      <w:r>
        <w:rPr>
          <w:rFonts w:ascii="Times New Roman" w:hAnsi="Times New Roman"/>
          <w:b/>
          <w:color w:val="0F172A"/>
          <w:sz w:val="22"/>
        </w:rPr>
        <w:t xml:space="preserve">3. Contextual Execution Plan Analysis: </w:t>
      </w:r>
      <w:r>
        <w:rPr>
          <w:rFonts w:ascii="Times New Roman" w:hAnsi="Times New Roman"/>
          <w:color w:val="0F172A"/>
          <w:sz w:val="22"/>
        </w:rPr>
        <w:t>To develop an Adaptive Query Optimization Layer that extracts and decomposes recursive PostgreSQL EXPLAIN (ANALYZE, BUFFERS, FORMAT JSON) plan trees to detect bottlenecks such as high-cost sequential scans, memory sort overflows, and cardinality mismatches.</w:t>
      </w:r>
    </w:p>
    <w:p>
      <w:pPr>
        <w:pStyle w:val="ListBullet"/>
        <w:spacing w:before="20" w:after="60" w:line="276" w:lineRule="auto"/>
        <w:jc w:val="both"/>
      </w:pPr>
      <w:r>
        <w:rPr>
          <w:rFonts w:ascii="Times New Roman" w:hAnsi="Times New Roman"/>
          <w:b/>
          <w:color w:val="0F172A"/>
          <w:sz w:val="22"/>
        </w:rPr>
        <w:t xml:space="preserve">4. Automated A/B Index Benchmarking: </w:t>
      </w:r>
      <w:r>
        <w:rPr>
          <w:rFonts w:ascii="Times New Roman" w:hAnsi="Times New Roman"/>
          <w:color w:val="0F172A"/>
          <w:sz w:val="22"/>
        </w:rPr>
        <w:t>To engineer an automated Index Candidate Synthesizer with an empirical multi-run A/B Benchmarker that safely proves speedup ratios and buffer I/O reductions before recommending or applying index structures.</w:t>
      </w:r>
    </w:p>
    <w:p>
      <w:pPr>
        <w:pStyle w:val="ListBullet"/>
        <w:spacing w:before="20" w:after="60" w:line="276" w:lineRule="auto"/>
        <w:jc w:val="both"/>
      </w:pPr>
      <w:r>
        <w:rPr>
          <w:rFonts w:ascii="Times New Roman" w:hAnsi="Times New Roman"/>
          <w:b/>
          <w:color w:val="0F172A"/>
          <w:sz w:val="22"/>
        </w:rPr>
        <w:t xml:space="preserve">5. Multi-Model Predictive ML Pipeline: </w:t>
      </w:r>
      <w:r>
        <w:rPr>
          <w:rFonts w:ascii="Times New Roman" w:hAnsi="Times New Roman"/>
          <w:color w:val="0F172A"/>
          <w:sz w:val="22"/>
        </w:rPr>
        <w:t>To deploy a 3-Model Comparative Machine Learning Pipeline (Logistic Regression, Random Forest, XGBoost) evaluating 10 physiological and operational features for patient readmission risk and clinical deterioration.</w:t>
      </w:r>
    </w:p>
    <w:p>
      <w:pPr>
        <w:pStyle w:val="ListBullet"/>
        <w:spacing w:before="20" w:after="60" w:line="276" w:lineRule="auto"/>
        <w:jc w:val="both"/>
      </w:pPr>
      <w:r>
        <w:rPr>
          <w:rFonts w:ascii="Times New Roman" w:hAnsi="Times New Roman"/>
          <w:b/>
          <w:color w:val="0F172A"/>
          <w:sz w:val="22"/>
        </w:rPr>
        <w:t xml:space="preserve">6. Full-Stack Interactive Interface: </w:t>
      </w:r>
      <w:r>
        <w:rPr>
          <w:rFonts w:ascii="Times New Roman" w:hAnsi="Times New Roman"/>
          <w:color w:val="0F172A"/>
          <w:sz w:val="22"/>
        </w:rPr>
        <w:t>To deliver an interactive, full-stack React 18 / TypeScript single-page application featuring visual ReactFlow execution trees, real-time WebSocket telemetry, and HIPAA-compliant immutable audit trails.</w:t>
      </w:r>
    </w:p>
    <w:p>
      <w:pPr>
        <w:keepNext/>
        <w:spacing w:before="240" w:after="80"/>
      </w:pPr>
      <w:r>
        <w:rPr>
          <w:rFonts w:ascii="Times New Roman" w:hAnsi="Times New Roman"/>
          <w:b/>
          <w:color w:val="0E7490"/>
          <w:sz w:val="25"/>
        </w:rPr>
        <w:t>1.3 Significance of the Project</w:t>
      </w:r>
    </w:p>
    <w:p>
      <w:pPr>
        <w:spacing w:before="0" w:after="120" w:line="276" w:lineRule="auto"/>
        <w:jc w:val="both"/>
      </w:pPr>
      <w:r>
        <w:rPr>
          <w:rFonts w:ascii="Times New Roman" w:hAnsi="Times New Roman"/>
          <w:color w:val="0F172A"/>
          <w:sz w:val="22"/>
        </w:rPr>
        <w:t>The significance of PULSE CORE spans both computational computer science and healthcare informatics. From a systems perspective, the platform eliminates the traditional guesswork in database indexing by establishing a closed-loop empirical verification pipeline: queries are analyzed at the AST level, evaluated against the PostgreSQL cost model, enhanced with automatically synthesized index candidates, and benchmarked across warm-up and timed iterations. From a clinical perspective, sub-millisecond query latencies combined with predictive ML risk scores allow healthcare providers to identify deteriorating patients proactively, reduce preventable 30-day readmissions, and optimize ward bed capacity.</w:t>
      </w:r>
    </w:p>
    <w:p>
      <w:pPr>
        <w:keepNext/>
        <w:spacing w:before="240" w:after="80"/>
      </w:pPr>
      <w:r>
        <w:rPr>
          <w:rFonts w:ascii="Times New Roman" w:hAnsi="Times New Roman"/>
          <w:b/>
          <w:color w:val="0E7490"/>
          <w:sz w:val="25"/>
        </w:rPr>
        <w:t>1.4 Scope of the Investigation</w:t>
      </w:r>
    </w:p>
    <w:p>
      <w:pPr>
        <w:spacing w:before="0" w:after="120" w:line="276" w:lineRule="auto"/>
        <w:jc w:val="both"/>
      </w:pPr>
      <w:r>
        <w:rPr>
          <w:rFonts w:ascii="Times New Roman" w:hAnsi="Times New Roman"/>
          <w:color w:val="0F172A"/>
          <w:sz w:val="22"/>
        </w:rPr>
        <w:t>The scope of this project encompasses the design, implementation, and empirical evaluation of an end-to-end healthcare analytics platform. Key functional domains include patient demographics, longitudinal admission lifecycles, ward and bed capacity tracking, real-time ICU vital signs streams, diagnostic laboratory panels (Cardiac, Renal, Hematology, Endocrine, Immunology), ICD-10 coded diagnoses, pharmacy orders, clinical alert management, query execution telemetry, and system-wide security audit logging. The platform is implemented in Python (FastAPI), PostgreSQL 16, and React 18 (TypeScript), and is tested against extensive synthetic cohorts generated with clinical physiological distributions.</w:t>
      </w:r>
    </w:p>
    <w:p>
      <w:pPr>
        <w:keepNext/>
        <w:spacing w:before="240" w:after="80"/>
      </w:pPr>
      <w:r>
        <w:rPr>
          <w:rFonts w:ascii="Times New Roman" w:hAnsi="Times New Roman"/>
          <w:b/>
          <w:color w:val="0E7490"/>
          <w:sz w:val="25"/>
        </w:rPr>
        <w:t>1.5 Methodology Overview</w:t>
      </w:r>
    </w:p>
    <w:p>
      <w:pPr>
        <w:spacing w:before="0" w:after="120" w:line="276" w:lineRule="auto"/>
        <w:jc w:val="both"/>
      </w:pPr>
      <w:r>
        <w:rPr>
          <w:rFonts w:ascii="Times New Roman" w:hAnsi="Times New Roman"/>
          <w:color w:val="0F172A"/>
          <w:sz w:val="22"/>
        </w:rPr>
        <w:t>The project follows an agile, rigorous engineering methodology comprising data modeling, security guardrail construction, cost analyzer development, machine learning pipeline training, and full-stack interface integration. Figure 1.1 illustrates the high-level architecture of PULSE CORE across its four primary tiers.</w:t>
      </w:r>
    </w:p>
    <w:p>
      <w:pPr>
        <w:spacing w:before="160" w:after="60"/>
        <w:jc w:val="center"/>
      </w:pPr>
      <w:r>
        <w:drawing>
          <wp:inline xmlns:a="http://schemas.openxmlformats.org/drawingml/2006/main" xmlns:pic="http://schemas.openxmlformats.org/drawingml/2006/picture">
            <wp:extent cx="5303520" cy="3395779"/>
            <wp:docPr id="8" name="Picture 8"/>
            <wp:cNvGraphicFramePr>
              <a:graphicFrameLocks noChangeAspect="1"/>
            </wp:cNvGraphicFramePr>
            <a:graphic>
              <a:graphicData uri="http://schemas.openxmlformats.org/drawingml/2006/picture">
                <pic:pic>
                  <pic:nvPicPr>
                    <pic:cNvPr id="0" name="architecture_diagram.png"/>
                    <pic:cNvPicPr/>
                  </pic:nvPicPr>
                  <pic:blipFill>
                    <a:blip r:embed="rId10"/>
                    <a:stretch>
                      <a:fillRect/>
                    </a:stretch>
                  </pic:blipFill>
                  <pic:spPr>
                    <a:xfrm>
                      <a:off x="0" y="0"/>
                      <a:ext cx="5303520" cy="3395779"/>
                    </a:xfrm>
                    <a:prstGeom prst="rect"/>
                  </pic:spPr>
                </pic:pic>
              </a:graphicData>
            </a:graphic>
          </wp:inline>
        </w:drawing>
      </w:r>
    </w:p>
    <w:p>
      <w:pPr>
        <w:spacing w:before="0" w:after="200"/>
        <w:jc w:val="center"/>
      </w:pPr>
      <w:r>
        <w:rPr>
          <w:rFonts w:ascii="Times New Roman" w:hAnsi="Times New Roman"/>
          <w:b/>
          <w:color w:val="163A5F"/>
          <w:sz w:val="20"/>
        </w:rPr>
        <w:t>Figure 1.1: PULSE CORE End-to-End Tiered Enterprise System Architecture</w:t>
      </w:r>
    </w:p>
    <w:p>
      <w:r>
        <w:br w:type="page"/>
      </w:r>
    </w:p>
    <w:p>
      <w:pPr>
        <w:keepNext/>
        <w:spacing w:before="360" w:after="120"/>
      </w:pPr>
      <w:r>
        <w:rPr>
          <w:rFonts w:ascii="Times New Roman" w:hAnsi="Times New Roman"/>
          <w:b/>
          <w:color w:val="163A5F"/>
          <w:sz w:val="28"/>
        </w:rPr>
        <w:t>CHAPTER 2: PROBLEM IDENTIFICATION AND ANALYSIS</w:t>
      </w:r>
    </w:p>
    <w:p>
      <w:pPr>
        <w:keepNext/>
        <w:spacing w:before="240" w:after="80"/>
      </w:pPr>
      <w:r>
        <w:rPr>
          <w:rFonts w:ascii="Times New Roman" w:hAnsi="Times New Roman"/>
          <w:b/>
          <w:color w:val="0E7490"/>
          <w:sz w:val="25"/>
        </w:rPr>
        <w:t>2.1 Description of the Problem</w:t>
      </w:r>
    </w:p>
    <w:p>
      <w:pPr>
        <w:spacing w:before="0" w:after="120" w:line="276" w:lineRule="auto"/>
        <w:jc w:val="both"/>
      </w:pPr>
      <w:r>
        <w:rPr>
          <w:rFonts w:ascii="Times New Roman" w:hAnsi="Times New Roman"/>
          <w:color w:val="0F172A"/>
          <w:sz w:val="22"/>
        </w:rPr>
        <w:t>Electronic Health Record platforms store deeply normalized relational data to maintain third normal form (3NF) integrity and prevent update anomalies. However, analytical and operational queries required by medical staff frequently necessitate joining several large tables simultaneously. For example, computing the 30-day readmission risk for cardiac patients requires joining the 'patients', 'admissions', 'vitals', 'lab_results', 'diagnoses', and 'prescriptions' tables.</w:t>
      </w:r>
    </w:p>
    <w:p>
      <w:pPr>
        <w:spacing w:before="0" w:after="120" w:line="276" w:lineRule="auto"/>
        <w:jc w:val="both"/>
      </w:pPr>
      <w:r>
        <w:rPr>
          <w:rFonts w:ascii="Times New Roman" w:hAnsi="Times New Roman"/>
          <w:color w:val="0F172A"/>
          <w:sz w:val="22"/>
        </w:rPr>
        <w:t>When such queries are executed on unindexed foreign keys or unindexed filtering columns, the relational database management system (RDBMS) is forced to perform full table sequential scans. In a dataset with thousands or millions of longitudinal records, a single sequential scan incurs heavy page buffer thrashing, evicting frequently accessed index pages from memory and causing physical disk I/O bottlenecks. Furthermore, queries involving SORT and GROUP BY operations on non-indexed attributes trigger external disk sorts when sorting memory exceeds the allocated 'work_mem' buffer.</w:t>
      </w:r>
    </w:p>
    <w:p>
      <w:pPr>
        <w:spacing w:before="0" w:after="120" w:line="276" w:lineRule="auto"/>
        <w:jc w:val="both"/>
      </w:pPr>
      <w:r>
        <w:rPr>
          <w:rFonts w:ascii="Times New Roman" w:hAnsi="Times New Roman"/>
          <w:color w:val="0F172A"/>
          <w:sz w:val="22"/>
        </w:rPr>
        <w:t>Beyond performance bottlenecks, healthcare databases face severe security vulnerabilities. Providing ad-hoc query consoles to data analysts introduces risks of SQL injection, accidental schema corruption through unauthorized DDL statements (such as DROP or ALTER), and data tampering through unconstrained DML updates.</w:t>
      </w:r>
    </w:p>
    <w:p>
      <w:pPr>
        <w:keepNext/>
        <w:spacing w:before="240" w:after="80"/>
      </w:pPr>
      <w:r>
        <w:rPr>
          <w:rFonts w:ascii="Times New Roman" w:hAnsi="Times New Roman"/>
          <w:b/>
          <w:color w:val="0E7490"/>
          <w:sz w:val="25"/>
        </w:rPr>
        <w:t>2.2 Evidence of the Problem</w:t>
      </w:r>
    </w:p>
    <w:p>
      <w:pPr>
        <w:spacing w:before="0" w:after="120" w:line="276" w:lineRule="auto"/>
        <w:jc w:val="both"/>
      </w:pPr>
      <w:r>
        <w:rPr>
          <w:rFonts w:ascii="Times New Roman" w:hAnsi="Times New Roman"/>
          <w:color w:val="0F172A"/>
          <w:sz w:val="22"/>
        </w:rPr>
        <w:t>To empirically validate these bottlenecks, baseline performance profiles were conducted on a PostgreSQL 16 instance. A standard clinical analytics query joining patients, admissions, and abnormal lab results was executed without secondary indexing. The execution profile revealed:</w:t>
      </w:r>
    </w:p>
    <w:p>
      <w:pPr>
        <w:pStyle w:val="ListBullet"/>
        <w:spacing w:before="20" w:after="60" w:line="276" w:lineRule="auto"/>
        <w:jc w:val="both"/>
      </w:pPr>
      <w:r>
        <w:rPr>
          <w:rFonts w:ascii="Times New Roman" w:hAnsi="Times New Roman"/>
          <w:b/>
          <w:color w:val="0F172A"/>
          <w:sz w:val="22"/>
        </w:rPr>
        <w:t xml:space="preserve">1. Suboptimal Plan Choice: </w:t>
      </w:r>
      <w:r>
        <w:rPr>
          <w:rFonts w:ascii="Times New Roman" w:hAnsi="Times New Roman"/>
          <w:color w:val="0F172A"/>
          <w:sz w:val="22"/>
        </w:rPr>
        <w:t>Execution Plan: The PostgreSQL planner selected a Nested Loop with multiple Sequential Scans across the 'lab_results' and 'vitals' tables.</w:t>
      </w:r>
    </w:p>
    <w:p>
      <w:pPr>
        <w:pStyle w:val="ListBullet"/>
        <w:spacing w:before="20" w:after="60" w:line="276" w:lineRule="auto"/>
        <w:jc w:val="both"/>
      </w:pPr>
      <w:r>
        <w:rPr>
          <w:rFonts w:ascii="Times New Roman" w:hAnsi="Times New Roman"/>
          <w:b/>
          <w:color w:val="0F172A"/>
          <w:sz w:val="22"/>
        </w:rPr>
        <w:t xml:space="preserve">2. Severe I/O Overhead: </w:t>
      </w:r>
      <w:r>
        <w:rPr>
          <w:rFonts w:ascii="Times New Roman" w:hAnsi="Times New Roman"/>
          <w:color w:val="0F172A"/>
          <w:sz w:val="22"/>
        </w:rPr>
        <w:t>Buffer Churn: Over 1,420 shared buffer blocks were read from disk per query execution, achieving a cache hit ratio of under 35%.</w:t>
      </w:r>
    </w:p>
    <w:p>
      <w:pPr>
        <w:pStyle w:val="ListBullet"/>
        <w:spacing w:before="20" w:after="60" w:line="276" w:lineRule="auto"/>
        <w:jc w:val="both"/>
      </w:pPr>
      <w:r>
        <w:rPr>
          <w:rFonts w:ascii="Times New Roman" w:hAnsi="Times New Roman"/>
          <w:b/>
          <w:color w:val="0F172A"/>
          <w:sz w:val="22"/>
        </w:rPr>
        <w:t xml:space="preserve">3. Latency Spikes: </w:t>
      </w:r>
      <w:r>
        <w:rPr>
          <w:rFonts w:ascii="Times New Roman" w:hAnsi="Times New Roman"/>
          <w:color w:val="0F172A"/>
          <w:sz w:val="22"/>
        </w:rPr>
        <w:t>High Query Latency: Average execution time exceeded 450 ms for a single analytical query, which scaled quadratically to over 4.8 seconds under concurrent 20-client load.</w:t>
      </w:r>
    </w:p>
    <w:p>
      <w:pPr>
        <w:pStyle w:val="ListBullet"/>
        <w:spacing w:before="20" w:after="60" w:line="276" w:lineRule="auto"/>
        <w:jc w:val="both"/>
      </w:pPr>
      <w:r>
        <w:rPr>
          <w:rFonts w:ascii="Times New Roman" w:hAnsi="Times New Roman"/>
          <w:b/>
          <w:color w:val="0F172A"/>
          <w:sz w:val="22"/>
        </w:rPr>
        <w:t xml:space="preserve">4. Memory Spills: </w:t>
      </w:r>
      <w:r>
        <w:rPr>
          <w:rFonts w:ascii="Times New Roman" w:hAnsi="Times New Roman"/>
          <w:color w:val="0F172A"/>
          <w:sz w:val="22"/>
        </w:rPr>
        <w:t>Disk-Based Sorting: Aggregating patients by length of stay forced external merge disk sorts due to sorting memory exhaustion.</w:t>
      </w:r>
    </w:p>
    <w:p>
      <w:pPr>
        <w:keepNext/>
        <w:spacing w:before="240" w:after="80"/>
      </w:pPr>
      <w:r>
        <w:rPr>
          <w:rFonts w:ascii="Times New Roman" w:hAnsi="Times New Roman"/>
          <w:b/>
          <w:color w:val="0E7490"/>
          <w:sz w:val="25"/>
        </w:rPr>
        <w:t>2.3 Stakeholder Analysis</w:t>
      </w:r>
    </w:p>
    <w:p>
      <w:pPr>
        <w:spacing w:before="0" w:after="120" w:line="276" w:lineRule="auto"/>
        <w:jc w:val="both"/>
      </w:pPr>
      <w:r>
        <w:rPr>
          <w:rFonts w:ascii="Times New Roman" w:hAnsi="Times New Roman"/>
          <w:color w:val="0F172A"/>
          <w:sz w:val="22"/>
        </w:rPr>
        <w:t>The primary stakeholders impacted by these database and analytics challenges include:</w:t>
      </w:r>
    </w:p>
    <w:p>
      <w:pPr>
        <w:pStyle w:val="ListBullet"/>
        <w:spacing w:before="20" w:after="60" w:line="276" w:lineRule="auto"/>
        <w:jc w:val="both"/>
      </w:pPr>
      <w:r>
        <w:rPr>
          <w:rFonts w:ascii="Times New Roman" w:hAnsi="Times New Roman"/>
          <w:b/>
          <w:color w:val="0F172A"/>
          <w:sz w:val="22"/>
        </w:rPr>
        <w:t xml:space="preserve">• Physicians and Critical Care Specialists: </w:t>
      </w:r>
      <w:r>
        <w:rPr>
          <w:rFonts w:ascii="Times New Roman" w:hAnsi="Times New Roman"/>
          <w:color w:val="0F172A"/>
          <w:sz w:val="22"/>
        </w:rPr>
        <w:t>Require instantaneous access to longitudinal patient histories, real-time vital signs telemetry, and diagnostic alerts to make life-critical clinical decisions.</w:t>
      </w:r>
    </w:p>
    <w:p>
      <w:pPr>
        <w:pStyle w:val="ListBullet"/>
        <w:spacing w:before="20" w:after="60" w:line="276" w:lineRule="auto"/>
        <w:jc w:val="both"/>
      </w:pPr>
      <w:r>
        <w:rPr>
          <w:rFonts w:ascii="Times New Roman" w:hAnsi="Times New Roman"/>
          <w:b/>
          <w:color w:val="0F172A"/>
          <w:sz w:val="22"/>
        </w:rPr>
        <w:t xml:space="preserve">• Diagnostic Laboratory Technicians: </w:t>
      </w:r>
      <w:r>
        <w:rPr>
          <w:rFonts w:ascii="Times New Roman" w:hAnsi="Times New Roman"/>
          <w:color w:val="0F172A"/>
          <w:sz w:val="22"/>
        </w:rPr>
        <w:t>Require robust diagnostic portals to upload, verify, and correlate multi-panel laboratory findings with existing EHR records without database lock contention.</w:t>
      </w:r>
    </w:p>
    <w:p>
      <w:pPr>
        <w:pStyle w:val="ListBullet"/>
        <w:spacing w:before="20" w:after="60" w:line="276" w:lineRule="auto"/>
        <w:jc w:val="both"/>
      </w:pPr>
      <w:r>
        <w:rPr>
          <w:rFonts w:ascii="Times New Roman" w:hAnsi="Times New Roman"/>
          <w:b/>
          <w:color w:val="0F172A"/>
          <w:sz w:val="22"/>
        </w:rPr>
        <w:t xml:space="preserve">• Healthcare Data Analysts &amp; DBAs: </w:t>
      </w:r>
      <w:r>
        <w:rPr>
          <w:rFonts w:ascii="Times New Roman" w:hAnsi="Times New Roman"/>
          <w:color w:val="0F172A"/>
          <w:sz w:val="22"/>
        </w:rPr>
        <w:t>Require high-speed analytical workspaces to perform cohort discovery, epidemiology studies, and predictive risk modeling across millions of clinical events.</w:t>
      </w:r>
    </w:p>
    <w:p>
      <w:pPr>
        <w:pStyle w:val="ListBullet"/>
        <w:spacing w:before="20" w:after="60" w:line="276" w:lineRule="auto"/>
        <w:jc w:val="both"/>
      </w:pPr>
      <w:r>
        <w:rPr>
          <w:rFonts w:ascii="Times New Roman" w:hAnsi="Times New Roman"/>
          <w:b/>
          <w:color w:val="0F172A"/>
          <w:sz w:val="22"/>
        </w:rPr>
        <w:t xml:space="preserve">• Hospital Operational Executives: </w:t>
      </w:r>
      <w:r>
        <w:rPr>
          <w:rFonts w:ascii="Times New Roman" w:hAnsi="Times New Roman"/>
          <w:color w:val="0F172A"/>
          <w:sz w:val="22"/>
        </w:rPr>
        <w:t>Require real-time dashboards displaying ward bed occupancy, nurse-to-patient ratios, and average length of stay (LOS) to optimize hospital throughput.</w:t>
      </w:r>
    </w:p>
    <w:p>
      <w:pPr>
        <w:pStyle w:val="ListBullet"/>
        <w:spacing w:before="20" w:after="60" w:line="276" w:lineRule="auto"/>
        <w:jc w:val="both"/>
      </w:pPr>
      <w:r>
        <w:rPr>
          <w:rFonts w:ascii="Times New Roman" w:hAnsi="Times New Roman"/>
          <w:b/>
          <w:color w:val="0F172A"/>
          <w:sz w:val="22"/>
        </w:rPr>
        <w:t xml:space="preserve">• Compliance and Security Officers: </w:t>
      </w:r>
      <w:r>
        <w:rPr>
          <w:rFonts w:ascii="Times New Roman" w:hAnsi="Times New Roman"/>
          <w:color w:val="0F172A"/>
          <w:sz w:val="22"/>
        </w:rPr>
        <w:t>Require strict enforcement of read-only query guardrails, role-based access control (RBAC), and immutable audit trails to comply with HIPAA regulations.</w:t>
      </w:r>
    </w:p>
    <w:p>
      <w:pPr>
        <w:keepNext/>
        <w:spacing w:before="240" w:after="80"/>
      </w:pPr>
      <w:r>
        <w:rPr>
          <w:rFonts w:ascii="Times New Roman" w:hAnsi="Times New Roman"/>
          <w:b/>
          <w:color w:val="0E7490"/>
          <w:sz w:val="25"/>
        </w:rPr>
        <w:t>2.4 Supporting Data, Mathematical Models &amp; Research</w:t>
      </w:r>
    </w:p>
    <w:p>
      <w:pPr>
        <w:spacing w:before="0" w:after="120" w:line="276" w:lineRule="auto"/>
        <w:jc w:val="both"/>
      </w:pPr>
      <w:r>
        <w:rPr>
          <w:rFonts w:ascii="Times New Roman" w:hAnsi="Times New Roman"/>
          <w:color w:val="0F172A"/>
          <w:sz w:val="22"/>
        </w:rPr>
        <w:t>Relational query optimization is governed by mathematical cost estimation models. The PostgreSQL query optimizer models the total estimated execution cost C of a plan node using the fundamental formula:</w:t>
      </w:r>
    </w:p>
    <w:p>
      <w:pPr>
        <w:spacing w:before="120" w:after="40"/>
      </w:pPr>
      <w:r>
        <w:rPr>
          <w:rFonts w:ascii="Courier New" w:hAnsi="Courier New"/>
          <w:b/>
          <w:color w:val="0E7490"/>
          <w:sz w:val="19"/>
        </w:rPr>
        <w:t>Formula 2.1: PostgreSQL Cost Estimation Formulation</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CBD5E1"/>
          <w:insideV w:val="none"/>
          <w:left w:val="none"/>
          <w:right w:val="none"/>
        </w:tblBorders>
      </w:tblPr>
      <w:tblGrid>
        <w:gridCol w:w="9360"/>
      </w:tblGrid>
      <w:tr>
        <w:tc>
          <w:tcPr>
            <w:tcW w:type="dxa" w:w="9360"/>
            <w:shd w:fill="F1F5F9"/>
            <w:tcMar>
              <w:top w:w="120" w:type="dxa"/>
              <w:bottom w:w="120" w:type="dxa"/>
              <w:left w:w="150" w:type="dxa"/>
              <w:right w:w="150" w:type="dxa"/>
            </w:tcMar>
          </w:tcPr>
          <w:p>
            <w:pPr>
              <w:spacing w:before="0" w:after="0" w:line="252" w:lineRule="auto"/>
            </w:pPr>
            <w:r>
              <w:rPr>
                <w:rFonts w:ascii="Consolas" w:hAnsi="Consolas"/>
                <w:color w:val="1E293B"/>
                <w:sz w:val="17"/>
              </w:rPr>
              <w:t>Total Cost (C) = (N_pages * c_page) + (N_tuples * c_cpu_tuple) + (N_operators * c_cpu_operator)</w:t>
              <w:br/>
              <w:br/>
              <w:t>Where:</w:t>
              <w:br/>
              <w:t xml:space="preserve">  - N_pages        = Total disk pages fetched (random vs sequential page cost)</w:t>
              <w:br/>
              <w:t xml:space="preserve">  - c_page         = Cost weight per page read (default: seq_page_cost = 1.0, random_page_cost = 4.0)</w:t>
              <w:br/>
              <w:t xml:space="preserve">  - N_tuples       = Number of candidate table rows processed</w:t>
              <w:br/>
              <w:t xml:space="preserve">  - c_cpu_tuple    = CPU processing cost per tuple evaluated (default: 0.01)</w:t>
              <w:br/>
              <w:t xml:space="preserve">  - c_cpu_operator = CPU cost per predicate or aggregation function evaluated (default: 0.0025)</w:t>
            </w:r>
          </w:p>
        </w:tc>
      </w:tr>
    </w:tbl>
    <w:p>
      <w:pPr>
        <w:spacing w:before="0" w:after="80"/>
      </w:pPr>
    </w:p>
    <w:p>
      <w:pPr>
        <w:spacing w:before="0" w:after="120" w:line="276" w:lineRule="auto"/>
        <w:jc w:val="both"/>
      </w:pPr>
      <w:r>
        <w:rPr>
          <w:rFonts w:ascii="Times New Roman" w:hAnsi="Times New Roman"/>
          <w:color w:val="0F172A"/>
          <w:sz w:val="22"/>
        </w:rPr>
        <w:t>When an index is present, the cost function shifts from linear disk access O(N) to logarithmic tree traversal O(log_B N), where B is the B-Tree fanout factor. Furthermore, query predicate selectivity S is modeled as:</w:t>
      </w:r>
    </w:p>
    <w:p>
      <w:pPr>
        <w:spacing w:before="120" w:after="40"/>
      </w:pPr>
      <w:r>
        <w:rPr>
          <w:rFonts w:ascii="Courier New" w:hAnsi="Courier New"/>
          <w:b/>
          <w:color w:val="0E7490"/>
          <w:sz w:val="19"/>
        </w:rPr>
        <w:t>Formula 2.2: Predicate Selectivity and Cardinality Estimation</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CBD5E1"/>
          <w:insideV w:val="none"/>
          <w:left w:val="none"/>
          <w:right w:val="none"/>
        </w:tblBorders>
      </w:tblPr>
      <w:tblGrid>
        <w:gridCol w:w="9360"/>
      </w:tblGrid>
      <w:tr>
        <w:tc>
          <w:tcPr>
            <w:tcW w:type="dxa" w:w="9360"/>
            <w:shd w:fill="F1F5F9"/>
            <w:tcMar>
              <w:top w:w="120" w:type="dxa"/>
              <w:bottom w:w="120" w:type="dxa"/>
              <w:left w:w="150" w:type="dxa"/>
              <w:right w:w="150" w:type="dxa"/>
            </w:tcMar>
          </w:tcPr>
          <w:p>
            <w:pPr>
              <w:spacing w:before="0" w:after="0" w:line="252" w:lineRule="auto"/>
            </w:pPr>
            <w:r>
              <w:rPr>
                <w:rFonts w:ascii="Consolas" w:hAnsi="Consolas"/>
                <w:color w:val="1E293B"/>
                <w:sz w:val="17"/>
              </w:rPr>
              <w:t>Selectivity S(Column = value) = 1 / |Domain(Column)|</w:t>
              <w:br/>
              <w:t>Selectivity S(Predicate_A AND Predicate_B) = S(Predicate_A) * S(Predicate_B)</w:t>
              <w:br/>
              <w:t>Estimated Output Rows = N_total_tuples * S</w:t>
            </w:r>
          </w:p>
        </w:tc>
      </w:tr>
    </w:tbl>
    <w:p>
      <w:pPr>
        <w:spacing w:before="0" w:after="80"/>
      </w:pPr>
    </w:p>
    <w:p>
      <w:pPr>
        <w:spacing w:before="0" w:after="120" w:line="276" w:lineRule="auto"/>
        <w:jc w:val="both"/>
      </w:pPr>
      <w:r>
        <w:rPr>
          <w:rFonts w:ascii="Times New Roman" w:hAnsi="Times New Roman"/>
          <w:color w:val="0F172A"/>
          <w:sz w:val="22"/>
        </w:rPr>
        <w:t>In machine learning classification for clinical deterioration, model discrimination is rigorously evaluated using Accuracy, Precision, Recall, F1-Score, and the Area Under the Receiver Operating Characteristic Curve (ROC-AUC):</w:t>
      </w:r>
    </w:p>
    <w:p>
      <w:pPr>
        <w:spacing w:before="120" w:after="40"/>
      </w:pPr>
      <w:r>
        <w:rPr>
          <w:rFonts w:ascii="Courier New" w:hAnsi="Courier New"/>
          <w:b/>
          <w:color w:val="0E7490"/>
          <w:sz w:val="19"/>
        </w:rPr>
        <w:t>Formula 2.3: Clinical Machine Learning Evaluation Metrics</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CBD5E1"/>
          <w:insideV w:val="none"/>
          <w:left w:val="none"/>
          <w:right w:val="none"/>
        </w:tblBorders>
      </w:tblPr>
      <w:tblGrid>
        <w:gridCol w:w="9360"/>
      </w:tblGrid>
      <w:tr>
        <w:tc>
          <w:tcPr>
            <w:tcW w:type="dxa" w:w="9360"/>
            <w:shd w:fill="F1F5F9"/>
            <w:tcMar>
              <w:top w:w="120" w:type="dxa"/>
              <w:bottom w:w="120" w:type="dxa"/>
              <w:left w:w="150" w:type="dxa"/>
              <w:right w:w="150" w:type="dxa"/>
            </w:tcMar>
          </w:tcPr>
          <w:p>
            <w:pPr>
              <w:spacing w:before="0" w:after="0" w:line="252" w:lineRule="auto"/>
            </w:pPr>
            <w:r>
              <w:rPr>
                <w:rFonts w:ascii="Consolas" w:hAnsi="Consolas"/>
                <w:color w:val="1E293B"/>
                <w:sz w:val="17"/>
              </w:rPr>
              <w:t>Precision = TP / (TP + FP)</w:t>
              <w:br/>
              <w:t>Recall (Sensitivity) = TP / (TP + FN)</w:t>
              <w:br/>
              <w:t>F1-Score = 2 * (Precision * Recall) / (Precision + Recall)</w:t>
              <w:br/>
              <w:t>ROC-AUC = Integral of True Positive Rate vs False Positive Rate across all classification thresholds</w:t>
            </w:r>
          </w:p>
        </w:tc>
      </w:tr>
    </w:tbl>
    <w:p>
      <w:pPr>
        <w:spacing w:before="0" w:after="80"/>
      </w:pPr>
    </w:p>
    <w:p>
      <w:r>
        <w:br w:type="page"/>
      </w:r>
    </w:p>
    <w:p>
      <w:pPr>
        <w:keepNext/>
        <w:spacing w:before="360" w:after="120"/>
      </w:pPr>
      <w:r>
        <w:rPr>
          <w:rFonts w:ascii="Times New Roman" w:hAnsi="Times New Roman"/>
          <w:b/>
          <w:color w:val="163A5F"/>
          <w:sz w:val="28"/>
        </w:rPr>
        <w:t>CHAPTER 3: SOLUTION DESIGN AND IMPLEMENTATION</w:t>
      </w:r>
    </w:p>
    <w:p>
      <w:pPr>
        <w:keepNext/>
        <w:spacing w:before="240" w:after="80"/>
      </w:pPr>
      <w:r>
        <w:rPr>
          <w:rFonts w:ascii="Times New Roman" w:hAnsi="Times New Roman"/>
          <w:b/>
          <w:color w:val="0E7490"/>
          <w:sz w:val="25"/>
        </w:rPr>
        <w:t>3.1 Development and Design Process</w:t>
      </w:r>
    </w:p>
    <w:p>
      <w:pPr>
        <w:spacing w:before="0" w:after="120" w:line="276" w:lineRule="auto"/>
        <w:jc w:val="both"/>
      </w:pPr>
      <w:r>
        <w:rPr>
          <w:rFonts w:ascii="Times New Roman" w:hAnsi="Times New Roman"/>
          <w:color w:val="0F172A"/>
          <w:sz w:val="22"/>
        </w:rPr>
        <w:t>PULSE CORE was engineered following a modern full-stack decoupled architecture. The backend is constructed using Python 3.14 with the asynchronous FastAPI framework and SQLAlchemy 2.0 ORM, backed by a PostgreSQL 16 relational database running in a containerized environment. The frontend is built with React 18, TypeScript, Vite, Tailwind CSS, Lucide Icons, and ReactFlow. The entire development lifecycle followed test-driven development (TDD) with automated Pytest suites covering API endpoints, AST query validation, ML model inference, and role-based authentication.</w:t>
      </w:r>
    </w:p>
    <w:p>
      <w:pPr>
        <w:keepNext/>
        <w:spacing w:before="240" w:after="80"/>
      </w:pPr>
      <w:r>
        <w:rPr>
          <w:rFonts w:ascii="Times New Roman" w:hAnsi="Times New Roman"/>
          <w:b/>
          <w:color w:val="0E7490"/>
          <w:sz w:val="25"/>
        </w:rPr>
        <w:t>3.2 Tools and Technologies Used</w:t>
      </w:r>
    </w:p>
    <w:p>
      <w:pPr>
        <w:spacing w:before="0" w:after="120" w:line="276" w:lineRule="auto"/>
        <w:jc w:val="both"/>
      </w:pPr>
      <w:r>
        <w:rPr>
          <w:rFonts w:ascii="Times New Roman" w:hAnsi="Times New Roman"/>
          <w:color w:val="0F172A"/>
          <w:sz w:val="22"/>
        </w:rPr>
        <w:t>The platform integrates industry-standard tools and libraries as detailed in Table 1.1:</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CBD5E1"/>
          <w:insideV w:val="none"/>
          <w:left w:val="none"/>
          <w:right w:val="none"/>
        </w:tblBorders>
      </w:tblPr>
      <w:tblGrid>
        <w:gridCol w:w="2340"/>
        <w:gridCol w:w="2340"/>
        <w:gridCol w:w="2340"/>
        <w:gridCol w:w="2340"/>
      </w:tblGrid>
      <w:tr>
        <w:tc>
          <w:tcPr>
            <w:tcW w:type="dxa" w:w="2016"/>
            <w:shd w:fill="163A5F"/>
            <w:tcMar>
              <w:top w:w="120" w:type="dxa"/>
              <w:bottom w:w="120" w:type="dxa"/>
              <w:left w:w="120" w:type="dxa"/>
              <w:right w:w="120" w:type="dxa"/>
            </w:tcMar>
            <w:vAlign w:val="center"/>
          </w:tcPr>
          <w:p>
            <w:pPr>
              <w:spacing w:before="0" w:after="0"/>
              <w:jc w:val="center"/>
            </w:pPr>
            <w:r>
              <w:rPr>
                <w:rFonts w:ascii="Times New Roman" w:hAnsi="Times New Roman"/>
                <w:b/>
                <w:color w:val="FFFFFF"/>
                <w:sz w:val="19"/>
              </w:rPr>
              <w:t>Layer</w:t>
            </w:r>
          </w:p>
        </w:tc>
        <w:tc>
          <w:tcPr>
            <w:tcW w:type="dxa" w:w="2880"/>
            <w:shd w:fill="163A5F"/>
            <w:tcMar>
              <w:top w:w="120" w:type="dxa"/>
              <w:bottom w:w="120" w:type="dxa"/>
              <w:left w:w="120" w:type="dxa"/>
              <w:right w:w="120" w:type="dxa"/>
            </w:tcMar>
            <w:vAlign w:val="center"/>
          </w:tcPr>
          <w:p>
            <w:pPr>
              <w:spacing w:before="0" w:after="0"/>
              <w:jc w:val="center"/>
            </w:pPr>
            <w:r>
              <w:rPr>
                <w:rFonts w:ascii="Times New Roman" w:hAnsi="Times New Roman"/>
                <w:b/>
                <w:color w:val="FFFFFF"/>
                <w:sz w:val="19"/>
              </w:rPr>
              <w:t>Technology / Framework</w:t>
            </w:r>
          </w:p>
        </w:tc>
        <w:tc>
          <w:tcPr>
            <w:tcW w:type="dxa" w:w="1440"/>
            <w:shd w:fill="163A5F"/>
            <w:tcMar>
              <w:top w:w="120" w:type="dxa"/>
              <w:bottom w:w="120" w:type="dxa"/>
              <w:left w:w="120" w:type="dxa"/>
              <w:right w:w="120" w:type="dxa"/>
            </w:tcMar>
            <w:vAlign w:val="center"/>
          </w:tcPr>
          <w:p>
            <w:pPr>
              <w:spacing w:before="0" w:after="0"/>
              <w:jc w:val="center"/>
            </w:pPr>
            <w:r>
              <w:rPr>
                <w:rFonts w:ascii="Times New Roman" w:hAnsi="Times New Roman"/>
                <w:b/>
                <w:color w:val="FFFFFF"/>
                <w:sz w:val="19"/>
              </w:rPr>
              <w:t>Version</w:t>
            </w:r>
          </w:p>
        </w:tc>
        <w:tc>
          <w:tcPr>
            <w:tcW w:type="dxa" w:w="3456"/>
            <w:shd w:fill="163A5F"/>
            <w:tcMar>
              <w:top w:w="120" w:type="dxa"/>
              <w:bottom w:w="120" w:type="dxa"/>
              <w:left w:w="120" w:type="dxa"/>
              <w:right w:w="120" w:type="dxa"/>
            </w:tcMar>
            <w:vAlign w:val="center"/>
          </w:tcPr>
          <w:p>
            <w:pPr>
              <w:spacing w:before="0" w:after="0"/>
              <w:jc w:val="center"/>
            </w:pPr>
            <w:r>
              <w:rPr>
                <w:rFonts w:ascii="Times New Roman" w:hAnsi="Times New Roman"/>
                <w:b/>
                <w:color w:val="FFFFFF"/>
                <w:sz w:val="19"/>
              </w:rPr>
              <w:t>Role in PULSE CORE</w:t>
            </w:r>
          </w:p>
        </w:tc>
      </w:tr>
      <w:tr>
        <w:tc>
          <w:tcPr>
            <w:tcW w:type="dxa" w:w="2016"/>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Database Engine</w:t>
            </w:r>
          </w:p>
        </w:tc>
        <w:tc>
          <w:tcPr>
            <w:tcW w:type="dxa" w:w="2880"/>
            <w:shd w:fill="FFFFFF"/>
            <w:tcMar>
              <w:top w:w="90" w:type="dxa"/>
              <w:bottom w:w="90" w:type="dxa"/>
              <w:left w:w="120" w:type="dxa"/>
              <w:right w:w="120" w:type="dxa"/>
            </w:tcMar>
            <w:vAlign w:val="center"/>
          </w:tcPr>
          <w:p>
            <w:pPr>
              <w:spacing w:before="0" w:after="0"/>
              <w:jc w:val="left"/>
            </w:pPr>
            <w:r>
              <w:rPr>
                <w:rFonts w:ascii="Times New Roman" w:hAnsi="Times New Roman"/>
                <w:color w:val="0F172A"/>
                <w:sz w:val="18"/>
              </w:rPr>
              <w:t>PostgreSQL (Alpine Container)</w:t>
            </w:r>
          </w:p>
        </w:tc>
        <w:tc>
          <w:tcPr>
            <w:tcW w:type="dxa" w:w="1440"/>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16.13</w:t>
            </w:r>
          </w:p>
        </w:tc>
        <w:tc>
          <w:tcPr>
            <w:tcW w:type="dxa" w:w="3456"/>
            <w:shd w:fill="FFFFFF"/>
            <w:tcMar>
              <w:top w:w="90" w:type="dxa"/>
              <w:bottom w:w="90" w:type="dxa"/>
              <w:left w:w="120" w:type="dxa"/>
              <w:right w:w="120" w:type="dxa"/>
            </w:tcMar>
            <w:vAlign w:val="center"/>
          </w:tcPr>
          <w:p>
            <w:pPr>
              <w:spacing w:before="0" w:after="0"/>
              <w:jc w:val="left"/>
            </w:pPr>
            <w:r>
              <w:rPr>
                <w:rFonts w:ascii="Times New Roman" w:hAnsi="Times New Roman"/>
                <w:color w:val="0F172A"/>
                <w:sz w:val="18"/>
              </w:rPr>
              <w:t>Relational EMR storage, cost-based optimizer, indexing</w:t>
            </w:r>
          </w:p>
        </w:tc>
      </w:tr>
      <w:tr>
        <w:tc>
          <w:tcPr>
            <w:tcW w:type="dxa" w:w="2016"/>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Backend Core</w:t>
            </w:r>
          </w:p>
        </w:tc>
        <w:tc>
          <w:tcPr>
            <w:tcW w:type="dxa" w:w="2880"/>
            <w:shd w:fill="F8FAFC"/>
            <w:tcMar>
              <w:top w:w="90" w:type="dxa"/>
              <w:bottom w:w="90" w:type="dxa"/>
              <w:left w:w="120" w:type="dxa"/>
              <w:right w:w="120" w:type="dxa"/>
            </w:tcMar>
            <w:vAlign w:val="center"/>
          </w:tcPr>
          <w:p>
            <w:pPr>
              <w:spacing w:before="0" w:after="0"/>
              <w:jc w:val="left"/>
            </w:pPr>
            <w:r>
              <w:rPr>
                <w:rFonts w:ascii="Times New Roman" w:hAnsi="Times New Roman"/>
                <w:color w:val="0F172A"/>
                <w:sz w:val="18"/>
              </w:rPr>
              <w:t>FastAPI / Python</w:t>
            </w:r>
          </w:p>
        </w:tc>
        <w:tc>
          <w:tcPr>
            <w:tcW w:type="dxa" w:w="1440"/>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0.110 / 3.14</w:t>
            </w:r>
          </w:p>
        </w:tc>
        <w:tc>
          <w:tcPr>
            <w:tcW w:type="dxa" w:w="3456"/>
            <w:shd w:fill="F8FAFC"/>
            <w:tcMar>
              <w:top w:w="90" w:type="dxa"/>
              <w:bottom w:w="90" w:type="dxa"/>
              <w:left w:w="120" w:type="dxa"/>
              <w:right w:w="120" w:type="dxa"/>
            </w:tcMar>
            <w:vAlign w:val="center"/>
          </w:tcPr>
          <w:p>
            <w:pPr>
              <w:spacing w:before="0" w:after="0"/>
              <w:jc w:val="left"/>
            </w:pPr>
            <w:r>
              <w:rPr>
                <w:rFonts w:ascii="Times New Roman" w:hAnsi="Times New Roman"/>
                <w:color w:val="0F172A"/>
                <w:sz w:val="18"/>
              </w:rPr>
              <w:t>Asynchronous REST API, dependency injection, WebSocket hub</w:t>
            </w:r>
          </w:p>
        </w:tc>
      </w:tr>
      <w:tr>
        <w:tc>
          <w:tcPr>
            <w:tcW w:type="dxa" w:w="2016"/>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ORM &amp; Migrations</w:t>
            </w:r>
          </w:p>
        </w:tc>
        <w:tc>
          <w:tcPr>
            <w:tcW w:type="dxa" w:w="2880"/>
            <w:shd w:fill="FFFFFF"/>
            <w:tcMar>
              <w:top w:w="90" w:type="dxa"/>
              <w:bottom w:w="90" w:type="dxa"/>
              <w:left w:w="120" w:type="dxa"/>
              <w:right w:w="120" w:type="dxa"/>
            </w:tcMar>
            <w:vAlign w:val="center"/>
          </w:tcPr>
          <w:p>
            <w:pPr>
              <w:spacing w:before="0" w:after="0"/>
              <w:jc w:val="left"/>
            </w:pPr>
            <w:r>
              <w:rPr>
                <w:rFonts w:ascii="Times New Roman" w:hAnsi="Times New Roman"/>
                <w:color w:val="0F172A"/>
                <w:sz w:val="18"/>
              </w:rPr>
              <w:t>SQLAlchemy / Alembic</w:t>
            </w:r>
          </w:p>
        </w:tc>
        <w:tc>
          <w:tcPr>
            <w:tcW w:type="dxa" w:w="1440"/>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2.0.30 / 1.13</w:t>
            </w:r>
          </w:p>
        </w:tc>
        <w:tc>
          <w:tcPr>
            <w:tcW w:type="dxa" w:w="3456"/>
            <w:shd w:fill="FFFFFF"/>
            <w:tcMar>
              <w:top w:w="90" w:type="dxa"/>
              <w:bottom w:w="90" w:type="dxa"/>
              <w:left w:w="120" w:type="dxa"/>
              <w:right w:w="120" w:type="dxa"/>
            </w:tcMar>
            <w:vAlign w:val="center"/>
          </w:tcPr>
          <w:p>
            <w:pPr>
              <w:spacing w:before="0" w:after="0"/>
              <w:jc w:val="left"/>
            </w:pPr>
            <w:r>
              <w:rPr>
                <w:rFonts w:ascii="Times New Roman" w:hAnsi="Times New Roman"/>
                <w:color w:val="0F172A"/>
                <w:sz w:val="18"/>
              </w:rPr>
              <w:t>Database domain modeling, connection pooling, schema migrations</w:t>
            </w:r>
          </w:p>
        </w:tc>
      </w:tr>
      <w:tr>
        <w:tc>
          <w:tcPr>
            <w:tcW w:type="dxa" w:w="2016"/>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AST Query Parser</w:t>
            </w:r>
          </w:p>
        </w:tc>
        <w:tc>
          <w:tcPr>
            <w:tcW w:type="dxa" w:w="2880"/>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SQLGlot</w:t>
            </w:r>
          </w:p>
        </w:tc>
        <w:tc>
          <w:tcPr>
            <w:tcW w:type="dxa" w:w="1440"/>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23.0+</w:t>
            </w:r>
          </w:p>
        </w:tc>
        <w:tc>
          <w:tcPr>
            <w:tcW w:type="dxa" w:w="3456"/>
            <w:shd w:fill="F8FAFC"/>
            <w:tcMar>
              <w:top w:w="90" w:type="dxa"/>
              <w:bottom w:w="90" w:type="dxa"/>
              <w:left w:w="120" w:type="dxa"/>
              <w:right w:w="120" w:type="dxa"/>
            </w:tcMar>
            <w:vAlign w:val="center"/>
          </w:tcPr>
          <w:p>
            <w:pPr>
              <w:spacing w:before="0" w:after="0"/>
              <w:jc w:val="left"/>
            </w:pPr>
            <w:r>
              <w:rPr>
                <w:rFonts w:ascii="Times New Roman" w:hAnsi="Times New Roman"/>
                <w:color w:val="0F172A"/>
                <w:sz w:val="18"/>
              </w:rPr>
              <w:t>SQL lexical parsing, AST traversal, read-only security filter</w:t>
            </w:r>
          </w:p>
        </w:tc>
      </w:tr>
      <w:tr>
        <w:tc>
          <w:tcPr>
            <w:tcW w:type="dxa" w:w="2016"/>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Machine Learning</w:t>
            </w:r>
          </w:p>
        </w:tc>
        <w:tc>
          <w:tcPr>
            <w:tcW w:type="dxa" w:w="2880"/>
            <w:shd w:fill="FFFFFF"/>
            <w:tcMar>
              <w:top w:w="90" w:type="dxa"/>
              <w:bottom w:w="90" w:type="dxa"/>
              <w:left w:w="120" w:type="dxa"/>
              <w:right w:w="120" w:type="dxa"/>
            </w:tcMar>
            <w:vAlign w:val="center"/>
          </w:tcPr>
          <w:p>
            <w:pPr>
              <w:spacing w:before="0" w:after="0"/>
              <w:jc w:val="left"/>
            </w:pPr>
            <w:r>
              <w:rPr>
                <w:rFonts w:ascii="Times New Roman" w:hAnsi="Times New Roman"/>
                <w:color w:val="0F172A"/>
                <w:sz w:val="18"/>
              </w:rPr>
              <w:t>Scikit-Learn &amp; XGBoost</w:t>
            </w:r>
          </w:p>
        </w:tc>
        <w:tc>
          <w:tcPr>
            <w:tcW w:type="dxa" w:w="1440"/>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1.4.2 / 2.0.3</w:t>
            </w:r>
          </w:p>
        </w:tc>
        <w:tc>
          <w:tcPr>
            <w:tcW w:type="dxa" w:w="3456"/>
            <w:shd w:fill="FFFFFF"/>
            <w:tcMar>
              <w:top w:w="90" w:type="dxa"/>
              <w:bottom w:w="90" w:type="dxa"/>
              <w:left w:w="120" w:type="dxa"/>
              <w:right w:w="120" w:type="dxa"/>
            </w:tcMar>
            <w:vAlign w:val="center"/>
          </w:tcPr>
          <w:p>
            <w:pPr>
              <w:spacing w:before="0" w:after="0"/>
              <w:jc w:val="left"/>
            </w:pPr>
            <w:r>
              <w:rPr>
                <w:rFonts w:ascii="Times New Roman" w:hAnsi="Times New Roman"/>
                <w:color w:val="0F172A"/>
                <w:sz w:val="18"/>
              </w:rPr>
              <w:t>Logistic Regression, Random Forest, XGBoost classifiers</w:t>
            </w:r>
          </w:p>
        </w:tc>
      </w:tr>
      <w:tr>
        <w:tc>
          <w:tcPr>
            <w:tcW w:type="dxa" w:w="2016"/>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Frontend UI</w:t>
            </w:r>
          </w:p>
        </w:tc>
        <w:tc>
          <w:tcPr>
            <w:tcW w:type="dxa" w:w="2880"/>
            <w:shd w:fill="F8FAFC"/>
            <w:tcMar>
              <w:top w:w="90" w:type="dxa"/>
              <w:bottom w:w="90" w:type="dxa"/>
              <w:left w:w="120" w:type="dxa"/>
              <w:right w:w="120" w:type="dxa"/>
            </w:tcMar>
            <w:vAlign w:val="center"/>
          </w:tcPr>
          <w:p>
            <w:pPr>
              <w:spacing w:before="0" w:after="0"/>
              <w:jc w:val="left"/>
            </w:pPr>
            <w:r>
              <w:rPr>
                <w:rFonts w:ascii="Times New Roman" w:hAnsi="Times New Roman"/>
                <w:color w:val="0F172A"/>
                <w:sz w:val="18"/>
              </w:rPr>
              <w:t>React / TypeScript / Vite</w:t>
            </w:r>
          </w:p>
        </w:tc>
        <w:tc>
          <w:tcPr>
            <w:tcW w:type="dxa" w:w="1440"/>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18.3 / 5.4 / 5.2</w:t>
            </w:r>
          </w:p>
        </w:tc>
        <w:tc>
          <w:tcPr>
            <w:tcW w:type="dxa" w:w="3456"/>
            <w:shd w:fill="F8FAFC"/>
            <w:tcMar>
              <w:top w:w="90" w:type="dxa"/>
              <w:bottom w:w="90" w:type="dxa"/>
              <w:left w:w="120" w:type="dxa"/>
              <w:right w:w="120" w:type="dxa"/>
            </w:tcMar>
            <w:vAlign w:val="center"/>
          </w:tcPr>
          <w:p>
            <w:pPr>
              <w:spacing w:before="0" w:after="0"/>
              <w:jc w:val="left"/>
            </w:pPr>
            <w:r>
              <w:rPr>
                <w:rFonts w:ascii="Times New Roman" w:hAnsi="Times New Roman"/>
                <w:color w:val="0F172A"/>
                <w:sz w:val="18"/>
              </w:rPr>
              <w:t>Single-page responsive web application, state management</w:t>
            </w:r>
          </w:p>
        </w:tc>
      </w:tr>
      <w:tr>
        <w:tc>
          <w:tcPr>
            <w:tcW w:type="dxa" w:w="2016"/>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Flow Visualization</w:t>
            </w:r>
          </w:p>
        </w:tc>
        <w:tc>
          <w:tcPr>
            <w:tcW w:type="dxa" w:w="2880"/>
            <w:shd w:fill="FFFFFF"/>
            <w:tcMar>
              <w:top w:w="90" w:type="dxa"/>
              <w:bottom w:w="90" w:type="dxa"/>
              <w:left w:w="120" w:type="dxa"/>
              <w:right w:w="120" w:type="dxa"/>
            </w:tcMar>
            <w:vAlign w:val="center"/>
          </w:tcPr>
          <w:p>
            <w:pPr>
              <w:spacing w:before="0" w:after="0"/>
              <w:jc w:val="left"/>
            </w:pPr>
            <w:r>
              <w:rPr>
                <w:rFonts w:ascii="Times New Roman" w:hAnsi="Times New Roman"/>
                <w:color w:val="0F172A"/>
                <w:sz w:val="18"/>
              </w:rPr>
              <w:t>ReactFlow (@xyflow/react)</w:t>
            </w:r>
          </w:p>
        </w:tc>
        <w:tc>
          <w:tcPr>
            <w:tcW w:type="dxa" w:w="1440"/>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11.11+</w:t>
            </w:r>
          </w:p>
        </w:tc>
        <w:tc>
          <w:tcPr>
            <w:tcW w:type="dxa" w:w="3456"/>
            <w:shd w:fill="FFFFFF"/>
            <w:tcMar>
              <w:top w:w="90" w:type="dxa"/>
              <w:bottom w:w="90" w:type="dxa"/>
              <w:left w:w="120" w:type="dxa"/>
              <w:right w:w="120" w:type="dxa"/>
            </w:tcMar>
            <w:vAlign w:val="center"/>
          </w:tcPr>
          <w:p>
            <w:pPr>
              <w:spacing w:before="0" w:after="0"/>
              <w:jc w:val="left"/>
            </w:pPr>
            <w:r>
              <w:rPr>
                <w:rFonts w:ascii="Times New Roman" w:hAnsi="Times New Roman"/>
                <w:color w:val="0F172A"/>
                <w:sz w:val="18"/>
              </w:rPr>
              <w:t>Interactive visual node-graph execution plan renderer</w:t>
            </w:r>
          </w:p>
        </w:tc>
      </w:tr>
      <w:tr>
        <w:tc>
          <w:tcPr>
            <w:tcW w:type="dxa" w:w="2016"/>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Styling &amp; Icons</w:t>
            </w:r>
          </w:p>
        </w:tc>
        <w:tc>
          <w:tcPr>
            <w:tcW w:type="dxa" w:w="2880"/>
            <w:shd w:fill="F8FAFC"/>
            <w:tcMar>
              <w:top w:w="90" w:type="dxa"/>
              <w:bottom w:w="90" w:type="dxa"/>
              <w:left w:w="120" w:type="dxa"/>
              <w:right w:w="120" w:type="dxa"/>
            </w:tcMar>
            <w:vAlign w:val="center"/>
          </w:tcPr>
          <w:p>
            <w:pPr>
              <w:spacing w:before="0" w:after="0"/>
              <w:jc w:val="left"/>
            </w:pPr>
            <w:r>
              <w:rPr>
                <w:rFonts w:ascii="Times New Roman" w:hAnsi="Times New Roman"/>
                <w:color w:val="0F172A"/>
                <w:sz w:val="18"/>
              </w:rPr>
              <w:t>Tailwind CSS &amp; Lucide React</w:t>
            </w:r>
          </w:p>
        </w:tc>
        <w:tc>
          <w:tcPr>
            <w:tcW w:type="dxa" w:w="1440"/>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3.4 / 0.378</w:t>
            </w:r>
          </w:p>
        </w:tc>
        <w:tc>
          <w:tcPr>
            <w:tcW w:type="dxa" w:w="3456"/>
            <w:shd w:fill="F8FAFC"/>
            <w:tcMar>
              <w:top w:w="90" w:type="dxa"/>
              <w:bottom w:w="90" w:type="dxa"/>
              <w:left w:w="120" w:type="dxa"/>
              <w:right w:w="120" w:type="dxa"/>
            </w:tcMar>
            <w:vAlign w:val="center"/>
          </w:tcPr>
          <w:p>
            <w:pPr>
              <w:spacing w:before="0" w:after="0"/>
              <w:jc w:val="left"/>
            </w:pPr>
            <w:r>
              <w:rPr>
                <w:rFonts w:ascii="Times New Roman" w:hAnsi="Times New Roman"/>
                <w:color w:val="0F172A"/>
                <w:sz w:val="18"/>
              </w:rPr>
              <w:t>Modern clinical UI styling, responsive data cards, icons</w:t>
            </w:r>
          </w:p>
        </w:tc>
      </w:tr>
      <w:tr>
        <w:tc>
          <w:tcPr>
            <w:tcW w:type="dxa" w:w="2016"/>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Testing &amp; Quality</w:t>
            </w:r>
          </w:p>
        </w:tc>
        <w:tc>
          <w:tcPr>
            <w:tcW w:type="dxa" w:w="2880"/>
            <w:shd w:fill="FFFFFF"/>
            <w:tcMar>
              <w:top w:w="90" w:type="dxa"/>
              <w:bottom w:w="90" w:type="dxa"/>
              <w:left w:w="120" w:type="dxa"/>
              <w:right w:w="120" w:type="dxa"/>
            </w:tcMar>
            <w:vAlign w:val="center"/>
          </w:tcPr>
          <w:p>
            <w:pPr>
              <w:spacing w:before="0" w:after="0"/>
              <w:jc w:val="left"/>
            </w:pPr>
            <w:r>
              <w:rPr>
                <w:rFonts w:ascii="Times New Roman" w:hAnsi="Times New Roman"/>
                <w:color w:val="0F172A"/>
                <w:sz w:val="18"/>
              </w:rPr>
              <w:t>Pytest / Pytest-Asyncio</w:t>
            </w:r>
          </w:p>
        </w:tc>
        <w:tc>
          <w:tcPr>
            <w:tcW w:type="dxa" w:w="1440"/>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8.2 / 0.23</w:t>
            </w:r>
          </w:p>
        </w:tc>
        <w:tc>
          <w:tcPr>
            <w:tcW w:type="dxa" w:w="3456"/>
            <w:shd w:fill="FFFFFF"/>
            <w:tcMar>
              <w:top w:w="90" w:type="dxa"/>
              <w:bottom w:w="90" w:type="dxa"/>
              <w:left w:w="120" w:type="dxa"/>
              <w:right w:w="120" w:type="dxa"/>
            </w:tcMar>
            <w:vAlign w:val="center"/>
          </w:tcPr>
          <w:p>
            <w:pPr>
              <w:spacing w:before="0" w:after="0"/>
              <w:jc w:val="left"/>
            </w:pPr>
            <w:r>
              <w:rPr>
                <w:rFonts w:ascii="Times New Roman" w:hAnsi="Times New Roman"/>
                <w:color w:val="0F172A"/>
                <w:sz w:val="18"/>
              </w:rPr>
              <w:t>Automated unit, integration, and security test execution</w:t>
            </w:r>
          </w:p>
        </w:tc>
      </w:tr>
    </w:tbl>
    <w:p>
      <w:pPr>
        <w:spacing w:before="0" w:after="120"/>
      </w:pPr>
    </w:p>
    <w:p>
      <w:pPr>
        <w:keepNext/>
        <w:spacing w:before="240" w:after="80"/>
      </w:pPr>
      <w:r>
        <w:rPr>
          <w:rFonts w:ascii="Times New Roman" w:hAnsi="Times New Roman"/>
          <w:b/>
          <w:color w:val="0E7490"/>
          <w:sz w:val="25"/>
        </w:rPr>
        <w:t>3.3 Detailed Solution Architecture &amp; Subsystems</w:t>
      </w:r>
    </w:p>
    <w:p>
      <w:pPr>
        <w:spacing w:before="0" w:after="120" w:line="276" w:lineRule="auto"/>
        <w:jc w:val="both"/>
      </w:pPr>
      <w:r>
        <w:rPr>
          <w:rFonts w:ascii="Times New Roman" w:hAnsi="Times New Roman"/>
          <w:color w:val="0F172A"/>
          <w:sz w:val="22"/>
        </w:rPr>
        <w:t>PULSE CORE comprises eight core functional subsystems:</w:t>
      </w:r>
    </w:p>
    <w:p>
      <w:pPr>
        <w:keepNext/>
        <w:spacing w:before="160" w:after="40"/>
      </w:pPr>
      <w:r>
        <w:rPr>
          <w:rFonts w:ascii="Times New Roman" w:hAnsi="Times New Roman"/>
          <w:b/>
          <w:i/>
          <w:color w:val="0F172A"/>
          <w:sz w:val="23"/>
        </w:rPr>
        <w:t>3.3.1 Relational Healthcare Database Schema Design</w:t>
      </w:r>
    </w:p>
    <w:p>
      <w:pPr>
        <w:spacing w:before="0" w:after="120" w:line="276" w:lineRule="auto"/>
        <w:jc w:val="both"/>
      </w:pPr>
      <w:r>
        <w:rPr>
          <w:rFonts w:ascii="Times New Roman" w:hAnsi="Times New Roman"/>
          <w:color w:val="0F172A"/>
          <w:sz w:val="22"/>
        </w:rPr>
        <w:t>The relational database schema is structured into 21 normalized tables covering all operational facets of a modern hospital. The schema enforces primary keys, foreign key constraints, column-level check constraints, and indexed audit columns. A synthetic data seeding service generates over 5,000 realistic clinical records adhering to clinical distributions (e.g. realistic vital ranges, ICD-10 diagnostic codes, and laboratory reference ranges).</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CBD5E1"/>
          <w:insideV w:val="none"/>
          <w:left w:val="none"/>
          <w:right w:val="none"/>
        </w:tblBorders>
      </w:tblPr>
      <w:tblGrid>
        <w:gridCol w:w="1872"/>
        <w:gridCol w:w="1872"/>
        <w:gridCol w:w="1872"/>
        <w:gridCol w:w="1872"/>
        <w:gridCol w:w="1872"/>
      </w:tblGrid>
      <w:tr>
        <w:tc>
          <w:tcPr>
            <w:tcW w:type="dxa" w:w="1728"/>
            <w:shd w:fill="163A5F"/>
            <w:tcMar>
              <w:top w:w="120" w:type="dxa"/>
              <w:bottom w:w="120" w:type="dxa"/>
              <w:left w:w="120" w:type="dxa"/>
              <w:right w:w="120" w:type="dxa"/>
            </w:tcMar>
            <w:vAlign w:val="center"/>
          </w:tcPr>
          <w:p>
            <w:pPr>
              <w:spacing w:before="0" w:after="0"/>
              <w:jc w:val="center"/>
            </w:pPr>
            <w:r>
              <w:rPr>
                <w:rFonts w:ascii="Times New Roman" w:hAnsi="Times New Roman"/>
                <w:b/>
                <w:color w:val="FFFFFF"/>
                <w:sz w:val="19"/>
              </w:rPr>
              <w:t>Table Name</w:t>
            </w:r>
          </w:p>
        </w:tc>
        <w:tc>
          <w:tcPr>
            <w:tcW w:type="dxa" w:w="1008"/>
            <w:shd w:fill="163A5F"/>
            <w:tcMar>
              <w:top w:w="120" w:type="dxa"/>
              <w:bottom w:w="120" w:type="dxa"/>
              <w:left w:w="120" w:type="dxa"/>
              <w:right w:w="120" w:type="dxa"/>
            </w:tcMar>
            <w:vAlign w:val="center"/>
          </w:tcPr>
          <w:p>
            <w:pPr>
              <w:spacing w:before="0" w:after="0"/>
              <w:jc w:val="center"/>
            </w:pPr>
            <w:r>
              <w:rPr>
                <w:rFonts w:ascii="Times New Roman" w:hAnsi="Times New Roman"/>
                <w:b/>
                <w:color w:val="FFFFFF"/>
                <w:sz w:val="19"/>
              </w:rPr>
              <w:t>Primary Key</w:t>
            </w:r>
          </w:p>
        </w:tc>
        <w:tc>
          <w:tcPr>
            <w:tcW w:type="dxa" w:w="2304"/>
            <w:shd w:fill="163A5F"/>
            <w:tcMar>
              <w:top w:w="120" w:type="dxa"/>
              <w:bottom w:w="120" w:type="dxa"/>
              <w:left w:w="120" w:type="dxa"/>
              <w:right w:w="120" w:type="dxa"/>
            </w:tcMar>
            <w:vAlign w:val="center"/>
          </w:tcPr>
          <w:p>
            <w:pPr>
              <w:spacing w:before="0" w:after="0"/>
              <w:jc w:val="center"/>
            </w:pPr>
            <w:r>
              <w:rPr>
                <w:rFonts w:ascii="Times New Roman" w:hAnsi="Times New Roman"/>
                <w:b/>
                <w:color w:val="FFFFFF"/>
                <w:sz w:val="19"/>
              </w:rPr>
              <w:t>Foreign Keys</w:t>
            </w:r>
          </w:p>
        </w:tc>
        <w:tc>
          <w:tcPr>
            <w:tcW w:type="dxa" w:w="2880"/>
            <w:shd w:fill="163A5F"/>
            <w:tcMar>
              <w:top w:w="120" w:type="dxa"/>
              <w:bottom w:w="120" w:type="dxa"/>
              <w:left w:w="120" w:type="dxa"/>
              <w:right w:w="120" w:type="dxa"/>
            </w:tcMar>
            <w:vAlign w:val="center"/>
          </w:tcPr>
          <w:p>
            <w:pPr>
              <w:spacing w:before="0" w:after="0"/>
              <w:jc w:val="center"/>
            </w:pPr>
            <w:r>
              <w:rPr>
                <w:rFonts w:ascii="Times New Roman" w:hAnsi="Times New Roman"/>
                <w:b/>
                <w:color w:val="FFFFFF"/>
                <w:sz w:val="19"/>
              </w:rPr>
              <w:t>Sample Attributes</w:t>
            </w:r>
          </w:p>
        </w:tc>
        <w:tc>
          <w:tcPr>
            <w:tcW w:type="dxa" w:w="1872"/>
            <w:shd w:fill="163A5F"/>
            <w:tcMar>
              <w:top w:w="120" w:type="dxa"/>
              <w:bottom w:w="120" w:type="dxa"/>
              <w:left w:w="120" w:type="dxa"/>
              <w:right w:w="120" w:type="dxa"/>
            </w:tcMar>
            <w:vAlign w:val="center"/>
          </w:tcPr>
          <w:p>
            <w:pPr>
              <w:spacing w:before="0" w:after="0"/>
              <w:jc w:val="center"/>
            </w:pPr>
            <w:r>
              <w:rPr>
                <w:rFonts w:ascii="Times New Roman" w:hAnsi="Times New Roman"/>
                <w:b/>
                <w:color w:val="FFFFFF"/>
                <w:sz w:val="19"/>
              </w:rPr>
              <w:t>Indexed Columns</w:t>
            </w:r>
          </w:p>
        </w:tc>
      </w:tr>
      <w:tr>
        <w:tc>
          <w:tcPr>
            <w:tcW w:type="dxa" w:w="1728"/>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users</w:t>
            </w:r>
          </w:p>
        </w:tc>
        <w:tc>
          <w:tcPr>
            <w:tcW w:type="dxa" w:w="1008"/>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id</w:t>
            </w:r>
          </w:p>
        </w:tc>
        <w:tc>
          <w:tcPr>
            <w:tcW w:type="dxa" w:w="2304"/>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None</w:t>
            </w:r>
          </w:p>
        </w:tc>
        <w:tc>
          <w:tcPr>
            <w:tcW w:type="dxa" w:w="2880"/>
            <w:shd w:fill="FFFFFF"/>
            <w:tcMar>
              <w:top w:w="90" w:type="dxa"/>
              <w:bottom w:w="90" w:type="dxa"/>
              <w:left w:w="120" w:type="dxa"/>
              <w:right w:w="120" w:type="dxa"/>
            </w:tcMar>
            <w:vAlign w:val="center"/>
          </w:tcPr>
          <w:p>
            <w:pPr>
              <w:spacing w:before="0" w:after="0"/>
              <w:jc w:val="left"/>
            </w:pPr>
            <w:r>
              <w:rPr>
                <w:rFonts w:ascii="Times New Roman" w:hAnsi="Times New Roman"/>
                <w:color w:val="0F172A"/>
                <w:sz w:val="18"/>
              </w:rPr>
              <w:t>username, full_name, role, department</w:t>
            </w:r>
          </w:p>
        </w:tc>
        <w:tc>
          <w:tcPr>
            <w:tcW w:type="dxa" w:w="1872"/>
            <w:shd w:fill="FFFFFF"/>
            <w:tcMar>
              <w:top w:w="90" w:type="dxa"/>
              <w:bottom w:w="90" w:type="dxa"/>
              <w:left w:w="120" w:type="dxa"/>
              <w:right w:w="120" w:type="dxa"/>
            </w:tcMar>
            <w:vAlign w:val="center"/>
          </w:tcPr>
          <w:p>
            <w:pPr>
              <w:spacing w:before="0" w:after="0"/>
              <w:jc w:val="left"/>
            </w:pPr>
            <w:r>
              <w:rPr>
                <w:rFonts w:ascii="Times New Roman" w:hAnsi="Times New Roman"/>
                <w:color w:val="0F172A"/>
                <w:sz w:val="18"/>
              </w:rPr>
              <w:t>username, email, role</w:t>
            </w:r>
          </w:p>
        </w:tc>
      </w:tr>
      <w:tr>
        <w:tc>
          <w:tcPr>
            <w:tcW w:type="dxa" w:w="1728"/>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patients</w:t>
            </w:r>
          </w:p>
        </w:tc>
        <w:tc>
          <w:tcPr>
            <w:tcW w:type="dxa" w:w="1008"/>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id</w:t>
            </w:r>
          </w:p>
        </w:tc>
        <w:tc>
          <w:tcPr>
            <w:tcW w:type="dxa" w:w="2304"/>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None</w:t>
            </w:r>
          </w:p>
        </w:tc>
        <w:tc>
          <w:tcPr>
            <w:tcW w:type="dxa" w:w="2880"/>
            <w:shd w:fill="F8FAFC"/>
            <w:tcMar>
              <w:top w:w="90" w:type="dxa"/>
              <w:bottom w:w="90" w:type="dxa"/>
              <w:left w:w="120" w:type="dxa"/>
              <w:right w:w="120" w:type="dxa"/>
            </w:tcMar>
            <w:vAlign w:val="center"/>
          </w:tcPr>
          <w:p>
            <w:pPr>
              <w:spacing w:before="0" w:after="0"/>
              <w:jc w:val="left"/>
            </w:pPr>
            <w:r>
              <w:rPr>
                <w:rFonts w:ascii="Times New Roman" w:hAnsi="Times New Roman"/>
                <w:color w:val="0F172A"/>
                <w:sz w:val="18"/>
              </w:rPr>
              <w:t>patient_code, name, age, gender, blood_type</w:t>
            </w:r>
          </w:p>
        </w:tc>
        <w:tc>
          <w:tcPr>
            <w:tcW w:type="dxa" w:w="1872"/>
            <w:shd w:fill="F8FAFC"/>
            <w:tcMar>
              <w:top w:w="90" w:type="dxa"/>
              <w:bottom w:w="90" w:type="dxa"/>
              <w:left w:w="120" w:type="dxa"/>
              <w:right w:w="120" w:type="dxa"/>
            </w:tcMar>
            <w:vAlign w:val="center"/>
          </w:tcPr>
          <w:p>
            <w:pPr>
              <w:spacing w:before="0" w:after="0"/>
              <w:jc w:val="left"/>
            </w:pPr>
            <w:r>
              <w:rPr>
                <w:rFonts w:ascii="Times New Roman" w:hAnsi="Times New Roman"/>
                <w:color w:val="0F172A"/>
                <w:sz w:val="18"/>
              </w:rPr>
              <w:t>patient_code, status, age</w:t>
            </w:r>
          </w:p>
        </w:tc>
      </w:tr>
      <w:tr>
        <w:tc>
          <w:tcPr>
            <w:tcW w:type="dxa" w:w="1728"/>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admissions</w:t>
            </w:r>
          </w:p>
        </w:tc>
        <w:tc>
          <w:tcPr>
            <w:tcW w:type="dxa" w:w="1008"/>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id</w:t>
            </w:r>
          </w:p>
        </w:tc>
        <w:tc>
          <w:tcPr>
            <w:tcW w:type="dxa" w:w="2304"/>
            <w:shd w:fill="FFFFFF"/>
            <w:tcMar>
              <w:top w:w="90" w:type="dxa"/>
              <w:bottom w:w="90" w:type="dxa"/>
              <w:left w:w="120" w:type="dxa"/>
              <w:right w:w="120" w:type="dxa"/>
            </w:tcMar>
            <w:vAlign w:val="center"/>
          </w:tcPr>
          <w:p>
            <w:pPr>
              <w:spacing w:before="0" w:after="0"/>
              <w:jc w:val="left"/>
            </w:pPr>
            <w:r>
              <w:rPr>
                <w:rFonts w:ascii="Times New Roman" w:hAnsi="Times New Roman"/>
                <w:color w:val="0F172A"/>
                <w:sz w:val="18"/>
              </w:rPr>
              <w:t>patient_id, ward_id, bed_id</w:t>
            </w:r>
          </w:p>
        </w:tc>
        <w:tc>
          <w:tcPr>
            <w:tcW w:type="dxa" w:w="2880"/>
            <w:shd w:fill="FFFFFF"/>
            <w:tcMar>
              <w:top w:w="90" w:type="dxa"/>
              <w:bottom w:w="90" w:type="dxa"/>
              <w:left w:w="120" w:type="dxa"/>
              <w:right w:w="120" w:type="dxa"/>
            </w:tcMar>
            <w:vAlign w:val="center"/>
          </w:tcPr>
          <w:p>
            <w:pPr>
              <w:spacing w:before="0" w:after="0"/>
              <w:jc w:val="left"/>
            </w:pPr>
            <w:r>
              <w:rPr>
                <w:rFonts w:ascii="Times New Roman" w:hAnsi="Times New Roman"/>
                <w:color w:val="0F172A"/>
                <w:sz w:val="18"/>
              </w:rPr>
              <w:t>admission_date, discharge_date, status</w:t>
            </w:r>
          </w:p>
        </w:tc>
        <w:tc>
          <w:tcPr>
            <w:tcW w:type="dxa" w:w="1872"/>
            <w:shd w:fill="FFFFFF"/>
            <w:tcMar>
              <w:top w:w="90" w:type="dxa"/>
              <w:bottom w:w="90" w:type="dxa"/>
              <w:left w:w="120" w:type="dxa"/>
              <w:right w:w="120" w:type="dxa"/>
            </w:tcMar>
            <w:vAlign w:val="center"/>
          </w:tcPr>
          <w:p>
            <w:pPr>
              <w:spacing w:before="0" w:after="0"/>
              <w:jc w:val="left"/>
            </w:pPr>
            <w:r>
              <w:rPr>
                <w:rFonts w:ascii="Times New Roman" w:hAnsi="Times New Roman"/>
                <w:color w:val="0F172A"/>
                <w:sz w:val="18"/>
              </w:rPr>
              <w:t>patient_id, status, ward_id</w:t>
            </w:r>
          </w:p>
        </w:tc>
      </w:tr>
      <w:tr>
        <w:tc>
          <w:tcPr>
            <w:tcW w:type="dxa" w:w="1728"/>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vitals</w:t>
            </w:r>
          </w:p>
        </w:tc>
        <w:tc>
          <w:tcPr>
            <w:tcW w:type="dxa" w:w="1008"/>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id</w:t>
            </w:r>
          </w:p>
        </w:tc>
        <w:tc>
          <w:tcPr>
            <w:tcW w:type="dxa" w:w="2304"/>
            <w:shd w:fill="F8FAFC"/>
            <w:tcMar>
              <w:top w:w="90" w:type="dxa"/>
              <w:bottom w:w="90" w:type="dxa"/>
              <w:left w:w="120" w:type="dxa"/>
              <w:right w:w="120" w:type="dxa"/>
            </w:tcMar>
            <w:vAlign w:val="center"/>
          </w:tcPr>
          <w:p>
            <w:pPr>
              <w:spacing w:before="0" w:after="0"/>
              <w:jc w:val="left"/>
            </w:pPr>
            <w:r>
              <w:rPr>
                <w:rFonts w:ascii="Times New Roman" w:hAnsi="Times New Roman"/>
                <w:color w:val="0F172A"/>
                <w:sz w:val="18"/>
              </w:rPr>
              <w:t>patient_id</w:t>
            </w:r>
          </w:p>
        </w:tc>
        <w:tc>
          <w:tcPr>
            <w:tcW w:type="dxa" w:w="2880"/>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heart_rate, systolic_bp, spo2, glucose</w:t>
            </w:r>
          </w:p>
        </w:tc>
        <w:tc>
          <w:tcPr>
            <w:tcW w:type="dxa" w:w="1872"/>
            <w:shd w:fill="F8FAFC"/>
            <w:tcMar>
              <w:top w:w="90" w:type="dxa"/>
              <w:bottom w:w="90" w:type="dxa"/>
              <w:left w:w="120" w:type="dxa"/>
              <w:right w:w="120" w:type="dxa"/>
            </w:tcMar>
            <w:vAlign w:val="center"/>
          </w:tcPr>
          <w:p>
            <w:pPr>
              <w:spacing w:before="0" w:after="0"/>
              <w:jc w:val="left"/>
            </w:pPr>
            <w:r>
              <w:rPr>
                <w:rFonts w:ascii="Times New Roman" w:hAnsi="Times New Roman"/>
                <w:color w:val="0F172A"/>
                <w:sz w:val="18"/>
              </w:rPr>
              <w:t>patient_id, recorded_at, is_abnormal</w:t>
            </w:r>
          </w:p>
        </w:tc>
      </w:tr>
      <w:tr>
        <w:tc>
          <w:tcPr>
            <w:tcW w:type="dxa" w:w="1728"/>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lab_results</w:t>
            </w:r>
          </w:p>
        </w:tc>
        <w:tc>
          <w:tcPr>
            <w:tcW w:type="dxa" w:w="1008"/>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id</w:t>
            </w:r>
          </w:p>
        </w:tc>
        <w:tc>
          <w:tcPr>
            <w:tcW w:type="dxa" w:w="2304"/>
            <w:shd w:fill="FFFFFF"/>
            <w:tcMar>
              <w:top w:w="90" w:type="dxa"/>
              <w:bottom w:w="90" w:type="dxa"/>
              <w:left w:w="120" w:type="dxa"/>
              <w:right w:w="120" w:type="dxa"/>
            </w:tcMar>
            <w:vAlign w:val="center"/>
          </w:tcPr>
          <w:p>
            <w:pPr>
              <w:spacing w:before="0" w:after="0"/>
              <w:jc w:val="left"/>
            </w:pPr>
            <w:r>
              <w:rPr>
                <w:rFonts w:ascii="Times New Roman" w:hAnsi="Times New Roman"/>
                <w:color w:val="0F172A"/>
                <w:sz w:val="18"/>
              </w:rPr>
              <w:t>patient_id</w:t>
            </w:r>
          </w:p>
        </w:tc>
        <w:tc>
          <w:tcPr>
            <w:tcW w:type="dxa" w:w="2880"/>
            <w:shd w:fill="FFFFFF"/>
            <w:tcMar>
              <w:top w:w="90" w:type="dxa"/>
              <w:bottom w:w="90" w:type="dxa"/>
              <w:left w:w="120" w:type="dxa"/>
              <w:right w:w="120" w:type="dxa"/>
            </w:tcMar>
            <w:vAlign w:val="center"/>
          </w:tcPr>
          <w:p>
            <w:pPr>
              <w:spacing w:before="0" w:after="0"/>
              <w:jc w:val="left"/>
            </w:pPr>
            <w:r>
              <w:rPr>
                <w:rFonts w:ascii="Times New Roman" w:hAnsi="Times New Roman"/>
                <w:color w:val="0F172A"/>
                <w:sz w:val="18"/>
              </w:rPr>
              <w:t>test_name, category, result_value, status</w:t>
            </w:r>
          </w:p>
        </w:tc>
        <w:tc>
          <w:tcPr>
            <w:tcW w:type="dxa" w:w="1872"/>
            <w:shd w:fill="FFFFFF"/>
            <w:tcMar>
              <w:top w:w="90" w:type="dxa"/>
              <w:bottom w:w="90" w:type="dxa"/>
              <w:left w:w="120" w:type="dxa"/>
              <w:right w:w="120" w:type="dxa"/>
            </w:tcMar>
            <w:vAlign w:val="center"/>
          </w:tcPr>
          <w:p>
            <w:pPr>
              <w:spacing w:before="0" w:after="0"/>
              <w:jc w:val="left"/>
            </w:pPr>
            <w:r>
              <w:rPr>
                <w:rFonts w:ascii="Times New Roman" w:hAnsi="Times New Roman"/>
                <w:color w:val="0F172A"/>
                <w:sz w:val="18"/>
              </w:rPr>
              <w:t>patient_id, category, status</w:t>
            </w:r>
          </w:p>
        </w:tc>
      </w:tr>
      <w:tr>
        <w:tc>
          <w:tcPr>
            <w:tcW w:type="dxa" w:w="1728"/>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diagnoses</w:t>
            </w:r>
          </w:p>
        </w:tc>
        <w:tc>
          <w:tcPr>
            <w:tcW w:type="dxa" w:w="1008"/>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id</w:t>
            </w:r>
          </w:p>
        </w:tc>
        <w:tc>
          <w:tcPr>
            <w:tcW w:type="dxa" w:w="2304"/>
            <w:shd w:fill="F8FAFC"/>
            <w:tcMar>
              <w:top w:w="90" w:type="dxa"/>
              <w:bottom w:w="90" w:type="dxa"/>
              <w:left w:w="120" w:type="dxa"/>
              <w:right w:w="120" w:type="dxa"/>
            </w:tcMar>
            <w:vAlign w:val="center"/>
          </w:tcPr>
          <w:p>
            <w:pPr>
              <w:spacing w:before="0" w:after="0"/>
              <w:jc w:val="left"/>
            </w:pPr>
            <w:r>
              <w:rPr>
                <w:rFonts w:ascii="Times New Roman" w:hAnsi="Times New Roman"/>
                <w:color w:val="0F172A"/>
                <w:sz w:val="18"/>
              </w:rPr>
              <w:t>patient_id</w:t>
            </w:r>
          </w:p>
        </w:tc>
        <w:tc>
          <w:tcPr>
            <w:tcW w:type="dxa" w:w="2880"/>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icd10_code, description, severity</w:t>
            </w:r>
          </w:p>
        </w:tc>
        <w:tc>
          <w:tcPr>
            <w:tcW w:type="dxa" w:w="1872"/>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patient_id, icd10_code</w:t>
            </w:r>
          </w:p>
        </w:tc>
      </w:tr>
      <w:tr>
        <w:tc>
          <w:tcPr>
            <w:tcW w:type="dxa" w:w="1728"/>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prescriptions</w:t>
            </w:r>
          </w:p>
        </w:tc>
        <w:tc>
          <w:tcPr>
            <w:tcW w:type="dxa" w:w="1008"/>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id</w:t>
            </w:r>
          </w:p>
        </w:tc>
        <w:tc>
          <w:tcPr>
            <w:tcW w:type="dxa" w:w="2304"/>
            <w:shd w:fill="FFFFFF"/>
            <w:tcMar>
              <w:top w:w="90" w:type="dxa"/>
              <w:bottom w:w="90" w:type="dxa"/>
              <w:left w:w="120" w:type="dxa"/>
              <w:right w:w="120" w:type="dxa"/>
            </w:tcMar>
            <w:vAlign w:val="center"/>
          </w:tcPr>
          <w:p>
            <w:pPr>
              <w:spacing w:before="0" w:after="0"/>
              <w:jc w:val="left"/>
            </w:pPr>
            <w:r>
              <w:rPr>
                <w:rFonts w:ascii="Times New Roman" w:hAnsi="Times New Roman"/>
                <w:color w:val="0F172A"/>
                <w:sz w:val="18"/>
              </w:rPr>
              <w:t>patient_id, medication_id</w:t>
            </w:r>
          </w:p>
        </w:tc>
        <w:tc>
          <w:tcPr>
            <w:tcW w:type="dxa" w:w="2880"/>
            <w:shd w:fill="FFFFFF"/>
            <w:tcMar>
              <w:top w:w="90" w:type="dxa"/>
              <w:bottom w:w="90" w:type="dxa"/>
              <w:left w:w="120" w:type="dxa"/>
              <w:right w:w="120" w:type="dxa"/>
            </w:tcMar>
            <w:vAlign w:val="center"/>
          </w:tcPr>
          <w:p>
            <w:pPr>
              <w:spacing w:before="0" w:after="0"/>
              <w:jc w:val="left"/>
            </w:pPr>
            <w:r>
              <w:rPr>
                <w:rFonts w:ascii="Times New Roman" w:hAnsi="Times New Roman"/>
                <w:color w:val="0F172A"/>
                <w:sz w:val="18"/>
              </w:rPr>
              <w:t>dosage, frequency, start_date, status</w:t>
            </w:r>
          </w:p>
        </w:tc>
        <w:tc>
          <w:tcPr>
            <w:tcW w:type="dxa" w:w="1872"/>
            <w:shd w:fill="FFFFFF"/>
            <w:tcMar>
              <w:top w:w="90" w:type="dxa"/>
              <w:bottom w:w="90" w:type="dxa"/>
              <w:left w:w="120" w:type="dxa"/>
              <w:right w:w="120" w:type="dxa"/>
            </w:tcMar>
            <w:vAlign w:val="center"/>
          </w:tcPr>
          <w:p>
            <w:pPr>
              <w:spacing w:before="0" w:after="0"/>
              <w:jc w:val="left"/>
            </w:pPr>
            <w:r>
              <w:rPr>
                <w:rFonts w:ascii="Times New Roman" w:hAnsi="Times New Roman"/>
                <w:color w:val="0F172A"/>
                <w:sz w:val="18"/>
              </w:rPr>
              <w:t>patient_id, status</w:t>
            </w:r>
          </w:p>
        </w:tc>
      </w:tr>
      <w:tr>
        <w:tc>
          <w:tcPr>
            <w:tcW w:type="dxa" w:w="1728"/>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query_history</w:t>
            </w:r>
          </w:p>
        </w:tc>
        <w:tc>
          <w:tcPr>
            <w:tcW w:type="dxa" w:w="1008"/>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id</w:t>
            </w:r>
          </w:p>
        </w:tc>
        <w:tc>
          <w:tcPr>
            <w:tcW w:type="dxa" w:w="2304"/>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user_id</w:t>
            </w:r>
          </w:p>
        </w:tc>
        <w:tc>
          <w:tcPr>
            <w:tcW w:type="dxa" w:w="2880"/>
            <w:shd w:fill="F8FAFC"/>
            <w:tcMar>
              <w:top w:w="90" w:type="dxa"/>
              <w:bottom w:w="90" w:type="dxa"/>
              <w:left w:w="120" w:type="dxa"/>
              <w:right w:w="120" w:type="dxa"/>
            </w:tcMar>
            <w:vAlign w:val="center"/>
          </w:tcPr>
          <w:p>
            <w:pPr>
              <w:spacing w:before="0" w:after="0"/>
              <w:jc w:val="left"/>
            </w:pPr>
            <w:r>
              <w:rPr>
                <w:rFonts w:ascii="Times New Roman" w:hAnsi="Times New Roman"/>
                <w:color w:val="0F172A"/>
                <w:sz w:val="18"/>
              </w:rPr>
              <w:t>query_text, execution_time_ms, cost</w:t>
            </w:r>
          </w:p>
        </w:tc>
        <w:tc>
          <w:tcPr>
            <w:tcW w:type="dxa" w:w="1872"/>
            <w:shd w:fill="F8FAFC"/>
            <w:tcMar>
              <w:top w:w="90" w:type="dxa"/>
              <w:bottom w:w="90" w:type="dxa"/>
              <w:left w:w="120" w:type="dxa"/>
              <w:right w:w="120" w:type="dxa"/>
            </w:tcMar>
            <w:vAlign w:val="center"/>
          </w:tcPr>
          <w:p>
            <w:pPr>
              <w:spacing w:before="0" w:after="0"/>
              <w:jc w:val="left"/>
            </w:pPr>
            <w:r>
              <w:rPr>
                <w:rFonts w:ascii="Times New Roman" w:hAnsi="Times New Roman"/>
                <w:color w:val="0F172A"/>
                <w:sz w:val="18"/>
              </w:rPr>
              <w:t>user_id, executed_at, fingerprint</w:t>
            </w:r>
          </w:p>
        </w:tc>
      </w:tr>
      <w:tr>
        <w:tc>
          <w:tcPr>
            <w:tcW w:type="dxa" w:w="1728"/>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optimization_recs</w:t>
            </w:r>
          </w:p>
        </w:tc>
        <w:tc>
          <w:tcPr>
            <w:tcW w:type="dxa" w:w="1008"/>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id</w:t>
            </w:r>
          </w:p>
        </w:tc>
        <w:tc>
          <w:tcPr>
            <w:tcW w:type="dxa" w:w="2304"/>
            <w:shd w:fill="FFFFFF"/>
            <w:tcMar>
              <w:top w:w="90" w:type="dxa"/>
              <w:bottom w:w="90" w:type="dxa"/>
              <w:left w:w="120" w:type="dxa"/>
              <w:right w:w="120" w:type="dxa"/>
            </w:tcMar>
            <w:vAlign w:val="center"/>
          </w:tcPr>
          <w:p>
            <w:pPr>
              <w:spacing w:before="0" w:after="0"/>
              <w:jc w:val="left"/>
            </w:pPr>
            <w:r>
              <w:rPr>
                <w:rFonts w:ascii="Times New Roman" w:hAnsi="Times New Roman"/>
                <w:color w:val="0F172A"/>
                <w:sz w:val="18"/>
              </w:rPr>
              <w:t>query_history_id</w:t>
            </w:r>
          </w:p>
        </w:tc>
        <w:tc>
          <w:tcPr>
            <w:tcW w:type="dxa" w:w="2880"/>
            <w:shd w:fill="FFFFFF"/>
            <w:tcMar>
              <w:top w:w="90" w:type="dxa"/>
              <w:bottom w:w="90" w:type="dxa"/>
              <w:left w:w="120" w:type="dxa"/>
              <w:right w:w="120" w:type="dxa"/>
            </w:tcMar>
            <w:vAlign w:val="center"/>
          </w:tcPr>
          <w:p>
            <w:pPr>
              <w:spacing w:before="0" w:after="0"/>
              <w:jc w:val="left"/>
            </w:pPr>
            <w:r>
              <w:rPr>
                <w:rFonts w:ascii="Times New Roman" w:hAnsi="Times New Roman"/>
                <w:color w:val="0F172A"/>
                <w:sz w:val="18"/>
              </w:rPr>
              <w:t>bottleneck_type, suggested_ddl, speedup</w:t>
            </w:r>
          </w:p>
        </w:tc>
        <w:tc>
          <w:tcPr>
            <w:tcW w:type="dxa" w:w="1872"/>
            <w:shd w:fill="FFFFFF"/>
            <w:tcMar>
              <w:top w:w="90" w:type="dxa"/>
              <w:bottom w:w="90" w:type="dxa"/>
              <w:left w:w="120" w:type="dxa"/>
              <w:right w:w="120" w:type="dxa"/>
            </w:tcMar>
            <w:vAlign w:val="center"/>
          </w:tcPr>
          <w:p>
            <w:pPr>
              <w:spacing w:before="0" w:after="0"/>
              <w:jc w:val="left"/>
            </w:pPr>
            <w:r>
              <w:rPr>
                <w:rFonts w:ascii="Times New Roman" w:hAnsi="Times New Roman"/>
                <w:color w:val="0F172A"/>
                <w:sz w:val="18"/>
              </w:rPr>
              <w:t>query_history_id, created_at</w:t>
            </w:r>
          </w:p>
        </w:tc>
      </w:tr>
      <w:tr>
        <w:tc>
          <w:tcPr>
            <w:tcW w:type="dxa" w:w="1728"/>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audit_logs</w:t>
            </w:r>
          </w:p>
        </w:tc>
        <w:tc>
          <w:tcPr>
            <w:tcW w:type="dxa" w:w="1008"/>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id</w:t>
            </w:r>
          </w:p>
        </w:tc>
        <w:tc>
          <w:tcPr>
            <w:tcW w:type="dxa" w:w="2304"/>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user_id</w:t>
            </w:r>
          </w:p>
        </w:tc>
        <w:tc>
          <w:tcPr>
            <w:tcW w:type="dxa" w:w="2880"/>
            <w:shd w:fill="F8FAFC"/>
            <w:tcMar>
              <w:top w:w="90" w:type="dxa"/>
              <w:bottom w:w="90" w:type="dxa"/>
              <w:left w:w="120" w:type="dxa"/>
              <w:right w:w="120" w:type="dxa"/>
            </w:tcMar>
            <w:vAlign w:val="center"/>
          </w:tcPr>
          <w:p>
            <w:pPr>
              <w:spacing w:before="0" w:after="0"/>
              <w:jc w:val="left"/>
            </w:pPr>
            <w:r>
              <w:rPr>
                <w:rFonts w:ascii="Times New Roman" w:hAnsi="Times New Roman"/>
                <w:color w:val="0F172A"/>
                <w:sz w:val="18"/>
              </w:rPr>
              <w:t>action, resource, ip_address, status</w:t>
            </w:r>
          </w:p>
        </w:tc>
        <w:tc>
          <w:tcPr>
            <w:tcW w:type="dxa" w:w="1872"/>
            <w:shd w:fill="F8FAFC"/>
            <w:tcMar>
              <w:top w:w="90" w:type="dxa"/>
              <w:bottom w:w="90" w:type="dxa"/>
              <w:left w:w="120" w:type="dxa"/>
              <w:right w:w="120" w:type="dxa"/>
            </w:tcMar>
            <w:vAlign w:val="center"/>
          </w:tcPr>
          <w:p>
            <w:pPr>
              <w:spacing w:before="0" w:after="0"/>
              <w:jc w:val="left"/>
            </w:pPr>
            <w:r>
              <w:rPr>
                <w:rFonts w:ascii="Times New Roman" w:hAnsi="Times New Roman"/>
                <w:color w:val="0F172A"/>
                <w:sz w:val="18"/>
              </w:rPr>
              <w:t>user_id, timestamp, action</w:t>
            </w:r>
          </w:p>
        </w:tc>
      </w:tr>
    </w:tbl>
    <w:p>
      <w:pPr>
        <w:spacing w:before="0" w:after="120"/>
      </w:pPr>
    </w:p>
    <w:p>
      <w:pPr>
        <w:keepNext/>
        <w:spacing w:before="160" w:after="40"/>
      </w:pPr>
      <w:r>
        <w:rPr>
          <w:rFonts w:ascii="Times New Roman" w:hAnsi="Times New Roman"/>
          <w:b/>
          <w:i/>
          <w:color w:val="0F172A"/>
          <w:sz w:val="23"/>
        </w:rPr>
        <w:t>3.3.2 SQL AST Parsing &amp; Security Guardrail Subsystem</w:t>
      </w:r>
    </w:p>
    <w:p>
      <w:pPr>
        <w:spacing w:before="0" w:after="120" w:line="276" w:lineRule="auto"/>
        <w:jc w:val="both"/>
      </w:pPr>
      <w:r>
        <w:rPr>
          <w:rFonts w:ascii="Times New Roman" w:hAnsi="Times New Roman"/>
          <w:color w:val="0F172A"/>
          <w:sz w:val="22"/>
        </w:rPr>
        <w:t>To guarantee absolute database security in ad-hoc analytical environments, PULSE CORE implements an Abstract Syntax Tree (AST) validator built on SQLGlot. The validator converts raw SQL strings into recursive AST node hierarchies and performs rigorous semantic checks before query execution:</w:t>
      </w:r>
    </w:p>
    <w:p>
      <w:pPr>
        <w:pStyle w:val="ListBullet"/>
        <w:spacing w:before="20" w:after="60" w:line="276" w:lineRule="auto"/>
        <w:jc w:val="both"/>
      </w:pPr>
      <w:r>
        <w:rPr>
          <w:rFonts w:ascii="Times New Roman" w:hAnsi="Times New Roman"/>
          <w:b/>
          <w:color w:val="0F172A"/>
          <w:sz w:val="22"/>
        </w:rPr>
        <w:t xml:space="preserve">1. Statement Separation: </w:t>
      </w:r>
      <w:r>
        <w:rPr>
          <w:rFonts w:ascii="Times New Roman" w:hAnsi="Times New Roman"/>
          <w:color w:val="0F172A"/>
          <w:sz w:val="22"/>
        </w:rPr>
        <w:t>Single Statement Enforcement: Multi-statement stacked queries (e.g. containing semicolons) are rejected to prevent SQL injection smuggling.</w:t>
      </w:r>
    </w:p>
    <w:p>
      <w:pPr>
        <w:pStyle w:val="ListBullet"/>
        <w:spacing w:before="20" w:after="60" w:line="276" w:lineRule="auto"/>
        <w:jc w:val="both"/>
      </w:pPr>
      <w:r>
        <w:rPr>
          <w:rFonts w:ascii="Times New Roman" w:hAnsi="Times New Roman"/>
          <w:b/>
          <w:color w:val="0F172A"/>
          <w:sz w:val="22"/>
        </w:rPr>
        <w:t xml:space="preserve">2. Expression Whitelist: </w:t>
      </w:r>
      <w:r>
        <w:rPr>
          <w:rFonts w:ascii="Times New Roman" w:hAnsi="Times New Roman"/>
          <w:color w:val="0F172A"/>
          <w:sz w:val="22"/>
        </w:rPr>
        <w:t>Statement Whitelisting: Only exp.Select and exp.Union top-level expressions are permitted.</w:t>
      </w:r>
    </w:p>
    <w:p>
      <w:pPr>
        <w:pStyle w:val="ListBullet"/>
        <w:spacing w:before="20" w:after="60" w:line="276" w:lineRule="auto"/>
        <w:jc w:val="both"/>
      </w:pPr>
      <w:r>
        <w:rPr>
          <w:rFonts w:ascii="Times New Roman" w:hAnsi="Times New Roman"/>
          <w:b/>
          <w:color w:val="0F172A"/>
          <w:sz w:val="22"/>
        </w:rPr>
        <w:t xml:space="preserve">3. Blacklist Filter: </w:t>
      </w:r>
      <w:r>
        <w:rPr>
          <w:rFonts w:ascii="Times New Roman" w:hAnsi="Times New Roman"/>
          <w:color w:val="0F172A"/>
          <w:sz w:val="22"/>
        </w:rPr>
        <w:t>AST Blacklist Traversal: Recursively searches the tree for forbidden expression types including exp.Insert, exp.Update, exp.Delete, exp.Drop, exp.Create, exp.Alter, and exp.TruncateTable.</w:t>
      </w:r>
    </w:p>
    <w:p>
      <w:pPr>
        <w:pStyle w:val="ListBullet"/>
        <w:spacing w:before="20" w:after="60" w:line="276" w:lineRule="auto"/>
        <w:jc w:val="both"/>
      </w:pPr>
      <w:r>
        <w:rPr>
          <w:rFonts w:ascii="Times New Roman" w:hAnsi="Times New Roman"/>
          <w:b/>
          <w:color w:val="0F172A"/>
          <w:sz w:val="22"/>
        </w:rPr>
        <w:t xml:space="preserve">4. Dangerous Call Traps: </w:t>
      </w:r>
      <w:r>
        <w:rPr>
          <w:rFonts w:ascii="Times New Roman" w:hAnsi="Times New Roman"/>
          <w:color w:val="0F172A"/>
          <w:sz w:val="22"/>
        </w:rPr>
        <w:t>System Function Blocking: Traverses anonymous function calls and blocks internal PostgreSQL administrative functions such as pg_sleep, pg_read_file, pg_write_file, dblink, and pg_terminate_backend.</w:t>
      </w:r>
    </w:p>
    <w:p>
      <w:pPr>
        <w:spacing w:before="160" w:after="60"/>
        <w:jc w:val="center"/>
      </w:pPr>
      <w:r>
        <w:drawing>
          <wp:inline xmlns:a="http://schemas.openxmlformats.org/drawingml/2006/main" xmlns:pic="http://schemas.openxmlformats.org/drawingml/2006/picture">
            <wp:extent cx="5303520" cy="3014231"/>
            <wp:docPr id="9" name="Picture 9"/>
            <wp:cNvGraphicFramePr>
              <a:graphicFrameLocks noChangeAspect="1"/>
            </wp:cNvGraphicFramePr>
            <a:graphic>
              <a:graphicData uri="http://schemas.openxmlformats.org/drawingml/2006/picture">
                <pic:pic>
                  <pic:nvPicPr>
                    <pic:cNvPr id="0" name="query_processing_flow.png"/>
                    <pic:cNvPicPr/>
                  </pic:nvPicPr>
                  <pic:blipFill>
                    <a:blip r:embed="rId11"/>
                    <a:stretch>
                      <a:fillRect/>
                    </a:stretch>
                  </pic:blipFill>
                  <pic:spPr>
                    <a:xfrm>
                      <a:off x="0" y="0"/>
                      <a:ext cx="5303520" cy="3014231"/>
                    </a:xfrm>
                    <a:prstGeom prst="rect"/>
                  </pic:spPr>
                </pic:pic>
              </a:graphicData>
            </a:graphic>
          </wp:inline>
        </w:drawing>
      </w:r>
    </w:p>
    <w:p>
      <w:pPr>
        <w:spacing w:before="0" w:after="200"/>
        <w:jc w:val="center"/>
      </w:pPr>
      <w:r>
        <w:rPr>
          <w:rFonts w:ascii="Times New Roman" w:hAnsi="Times New Roman"/>
          <w:b/>
          <w:color w:val="163A5F"/>
          <w:sz w:val="20"/>
        </w:rPr>
        <w:t>Figure 3.1: SQL AST Parsing, Security Guardrails, and Execution Pipeline</w:t>
      </w:r>
    </w:p>
    <w:p>
      <w:pPr>
        <w:keepNext/>
        <w:spacing w:before="160" w:after="40"/>
      </w:pPr>
      <w:r>
        <w:rPr>
          <w:rFonts w:ascii="Times New Roman" w:hAnsi="Times New Roman"/>
          <w:b/>
          <w:i/>
          <w:color w:val="0F172A"/>
          <w:sz w:val="23"/>
        </w:rPr>
        <w:t>3.3.3 Adaptive Query Processing &amp; Execution Plan Decomposer</w:t>
      </w:r>
    </w:p>
    <w:p>
      <w:pPr>
        <w:spacing w:before="0" w:after="120" w:line="276" w:lineRule="auto"/>
        <w:jc w:val="both"/>
      </w:pPr>
      <w:r>
        <w:rPr>
          <w:rFonts w:ascii="Times New Roman" w:hAnsi="Times New Roman"/>
          <w:color w:val="0F172A"/>
          <w:sz w:val="22"/>
        </w:rPr>
        <w:t>When a validated SQL query is submitted, the Query Engine executes 'EXPLAIN (ANALYZE, BUFFERS, FORMAT JSON)' against PostgreSQL. The resulting execution plan JSON tree is recursively parsed to extract execution time (ms), planning time, startup cost, total cost, plan rows, actual rows, and buffer metrics (shared hit blocks, shared read blocks, dirty blocks).</w:t>
      </w:r>
    </w:p>
    <w:p>
      <w:pPr>
        <w:spacing w:before="0" w:after="120" w:line="276" w:lineRule="auto"/>
        <w:jc w:val="both"/>
      </w:pPr>
      <w:r>
        <w:rPr>
          <w:rFonts w:ascii="Times New Roman" w:hAnsi="Times New Roman"/>
          <w:color w:val="0F172A"/>
          <w:sz w:val="22"/>
        </w:rPr>
        <w:t>The Optimizer inspects every node in the flattened plan tree to identify five primary architectural bottlenecks:</w:t>
      </w:r>
    </w:p>
    <w:p>
      <w:pPr>
        <w:pStyle w:val="ListBullet"/>
        <w:spacing w:before="20" w:after="60" w:line="276" w:lineRule="auto"/>
        <w:jc w:val="both"/>
      </w:pPr>
      <w:r>
        <w:rPr>
          <w:rFonts w:ascii="Times New Roman" w:hAnsi="Times New Roman"/>
          <w:b/>
          <w:color w:val="0F172A"/>
          <w:sz w:val="22"/>
        </w:rPr>
        <w:t xml:space="preserve">1. Sequential Scans: </w:t>
      </w:r>
      <w:r>
        <w:rPr>
          <w:rFonts w:ascii="Times New Roman" w:hAnsi="Times New Roman"/>
          <w:color w:val="0F172A"/>
          <w:sz w:val="22"/>
        </w:rPr>
        <w:t>Sequential Scan Bottlenecks on large tables (&gt;50 rows) where filtering predicates are evaluated without index support.</w:t>
      </w:r>
    </w:p>
    <w:p>
      <w:pPr>
        <w:pStyle w:val="ListBullet"/>
        <w:spacing w:before="20" w:after="60" w:line="276" w:lineRule="auto"/>
        <w:jc w:val="both"/>
      </w:pPr>
      <w:r>
        <w:rPr>
          <w:rFonts w:ascii="Times New Roman" w:hAnsi="Times New Roman"/>
          <w:b/>
          <w:color w:val="0F172A"/>
          <w:sz w:val="22"/>
        </w:rPr>
        <w:t xml:space="preserve">2. Cardinality Mismatch: </w:t>
      </w:r>
      <w:r>
        <w:rPr>
          <w:rFonts w:ascii="Times New Roman" w:hAnsi="Times New Roman"/>
          <w:color w:val="0F172A"/>
          <w:sz w:val="22"/>
        </w:rPr>
        <w:t>Cardinality Skew where actual rows deviate by more than 5x from planner estimates, indicating stale table statistics.</w:t>
      </w:r>
    </w:p>
    <w:p>
      <w:pPr>
        <w:pStyle w:val="ListBullet"/>
        <w:spacing w:before="20" w:after="60" w:line="276" w:lineRule="auto"/>
        <w:jc w:val="both"/>
      </w:pPr>
      <w:r>
        <w:rPr>
          <w:rFonts w:ascii="Times New Roman" w:hAnsi="Times New Roman"/>
          <w:b/>
          <w:color w:val="0F172A"/>
          <w:sz w:val="22"/>
        </w:rPr>
        <w:t xml:space="preserve">3. Expensive Sorts: </w:t>
      </w:r>
      <w:r>
        <w:rPr>
          <w:rFonts w:ascii="Times New Roman" w:hAnsi="Times New Roman"/>
          <w:color w:val="0F172A"/>
          <w:sz w:val="22"/>
        </w:rPr>
        <w:t>External Disk Sorts caused by sorting large result sets exceeding work_mem.</w:t>
      </w:r>
    </w:p>
    <w:p>
      <w:pPr>
        <w:pStyle w:val="ListBullet"/>
        <w:spacing w:before="20" w:after="60" w:line="276" w:lineRule="auto"/>
        <w:jc w:val="both"/>
      </w:pPr>
      <w:r>
        <w:rPr>
          <w:rFonts w:ascii="Times New Roman" w:hAnsi="Times New Roman"/>
          <w:b/>
          <w:color w:val="0F172A"/>
          <w:sz w:val="22"/>
        </w:rPr>
        <w:t xml:space="preserve">4. Join Inefficiencies: </w:t>
      </w:r>
      <w:r>
        <w:rPr>
          <w:rFonts w:ascii="Times New Roman" w:hAnsi="Times New Roman"/>
          <w:color w:val="0F172A"/>
          <w:sz w:val="22"/>
        </w:rPr>
        <w:t>Unindexed Foreign Key Joins where nested loops or hash joins incur high cost due to missing join column indexes.</w:t>
      </w:r>
    </w:p>
    <w:p>
      <w:pPr>
        <w:pStyle w:val="ListBullet"/>
        <w:spacing w:before="20" w:after="60" w:line="276" w:lineRule="auto"/>
        <w:jc w:val="both"/>
      </w:pPr>
      <w:r>
        <w:rPr>
          <w:rFonts w:ascii="Times New Roman" w:hAnsi="Times New Roman"/>
          <w:b/>
          <w:color w:val="0F172A"/>
          <w:sz w:val="22"/>
        </w:rPr>
        <w:t xml:space="preserve">5. Wildcard Overhead: </w:t>
      </w:r>
      <w:r>
        <w:rPr>
          <w:rFonts w:ascii="Times New Roman" w:hAnsi="Times New Roman"/>
          <w:color w:val="0F172A"/>
          <w:sz w:val="22"/>
        </w:rPr>
        <w:t>Wildcard Projection Overhead (SELECT *) across wide clinical tables, causing unnecessary disk and network bandwidth consumption.</w:t>
      </w:r>
    </w:p>
    <w:p>
      <w:pPr>
        <w:keepNext/>
        <w:spacing w:before="160" w:after="40"/>
      </w:pPr>
      <w:r>
        <w:rPr>
          <w:rFonts w:ascii="Times New Roman" w:hAnsi="Times New Roman"/>
          <w:b/>
          <w:i/>
          <w:color w:val="0F172A"/>
          <w:sz w:val="23"/>
        </w:rPr>
        <w:t>3.3.4 Automated Heuristic Index Recommender &amp; A/B Benchmarker</w:t>
      </w:r>
    </w:p>
    <w:p>
      <w:pPr>
        <w:spacing w:before="0" w:after="120" w:line="276" w:lineRule="auto"/>
        <w:jc w:val="both"/>
      </w:pPr>
      <w:r>
        <w:rPr>
          <w:rFonts w:ascii="Times New Roman" w:hAnsi="Times New Roman"/>
          <w:color w:val="0F172A"/>
          <w:sz w:val="22"/>
        </w:rPr>
        <w:t>Upon identifying a bottleneck, the Optimizer automatically generates safe DDL statements (e.g. 'CREATE INDEX idx_vitals_patient_abnormal ON vitals(patient_id, is_abnormal)'). To empirically prove the optimization gain, PULSE CORE features an Automated A/B Benchmarker that executes a controlled four-phase lifecycle:</w:t>
      </w:r>
    </w:p>
    <w:p>
      <w:pPr>
        <w:pStyle w:val="ListBullet"/>
        <w:spacing w:before="20" w:after="60" w:line="276" w:lineRule="auto"/>
        <w:jc w:val="both"/>
      </w:pPr>
      <w:r>
        <w:rPr>
          <w:rFonts w:ascii="Times New Roman" w:hAnsi="Times New Roman"/>
          <w:b/>
          <w:color w:val="0F172A"/>
          <w:sz w:val="22"/>
        </w:rPr>
        <w:t xml:space="preserve">• Baseline Measurement: </w:t>
      </w:r>
      <w:r>
        <w:rPr>
          <w:rFonts w:ascii="Times New Roman" w:hAnsi="Times New Roman"/>
          <w:color w:val="0F172A"/>
          <w:sz w:val="22"/>
        </w:rPr>
        <w:t>Phase 1 (Baseline Benchmark): Runs 2 warm-up executions followed by 3 timed benchmark runs to establish baseline execution time, cost, and buffer reads.</w:t>
      </w:r>
    </w:p>
    <w:p>
      <w:pPr>
        <w:pStyle w:val="ListBullet"/>
        <w:spacing w:before="20" w:after="60" w:line="276" w:lineRule="auto"/>
        <w:jc w:val="both"/>
      </w:pPr>
      <w:r>
        <w:rPr>
          <w:rFonts w:ascii="Times New Roman" w:hAnsi="Times New Roman"/>
          <w:b/>
          <w:color w:val="0F172A"/>
          <w:sz w:val="22"/>
        </w:rPr>
        <w:t xml:space="preserve">• Controlled Creation: </w:t>
      </w:r>
      <w:r>
        <w:rPr>
          <w:rFonts w:ascii="Times New Roman" w:hAnsi="Times New Roman"/>
          <w:color w:val="0F172A"/>
          <w:sz w:val="22"/>
        </w:rPr>
        <w:t>Phase 2 (Index Provisioning): Executes the generated index DDL inside a dedicated database transaction.</w:t>
      </w:r>
    </w:p>
    <w:p>
      <w:pPr>
        <w:pStyle w:val="ListBullet"/>
        <w:spacing w:before="20" w:after="60" w:line="276" w:lineRule="auto"/>
        <w:jc w:val="both"/>
      </w:pPr>
      <w:r>
        <w:rPr>
          <w:rFonts w:ascii="Times New Roman" w:hAnsi="Times New Roman"/>
          <w:b/>
          <w:color w:val="0F172A"/>
          <w:sz w:val="22"/>
        </w:rPr>
        <w:t xml:space="preserve">• Optimized Measurement: </w:t>
      </w:r>
      <w:r>
        <w:rPr>
          <w:rFonts w:ascii="Times New Roman" w:hAnsi="Times New Roman"/>
          <w:color w:val="0F172A"/>
          <w:sz w:val="22"/>
        </w:rPr>
        <w:t>Phase 3 (Post-Index Benchmark): Re-executes the identical query under the new index structure for 2 warm-up and 3 timed runs.</w:t>
      </w:r>
    </w:p>
    <w:p>
      <w:pPr>
        <w:pStyle w:val="ListBullet"/>
        <w:spacing w:before="20" w:after="60" w:line="276" w:lineRule="auto"/>
        <w:jc w:val="both"/>
      </w:pPr>
      <w:r>
        <w:rPr>
          <w:rFonts w:ascii="Times New Roman" w:hAnsi="Times New Roman"/>
          <w:b/>
          <w:color w:val="0F172A"/>
          <w:sz w:val="22"/>
        </w:rPr>
        <w:t xml:space="preserve">• Empirical Verification: </w:t>
      </w:r>
      <w:r>
        <w:rPr>
          <w:rFonts w:ascii="Times New Roman" w:hAnsi="Times New Roman"/>
          <w:color w:val="0F172A"/>
          <w:sz w:val="22"/>
        </w:rPr>
        <w:t>Phase 4 (Delta Calculation &amp; Rollback): Computes speedup ratio, execution time delta (ms), and buffer reduction percentage, storing the benchmark in benchmark_history before rolling back temporary test indexes or applying them permanently.</w:t>
      </w:r>
    </w:p>
    <w:p>
      <w:pPr>
        <w:keepNext/>
        <w:spacing w:before="160" w:after="40"/>
      </w:pPr>
      <w:r>
        <w:rPr>
          <w:rFonts w:ascii="Times New Roman" w:hAnsi="Times New Roman"/>
          <w:b/>
          <w:i/>
          <w:color w:val="0F172A"/>
          <w:sz w:val="23"/>
        </w:rPr>
        <w:t>3.3.5 Schema-Aware Natural Language to SQL AI Engine</w:t>
      </w:r>
    </w:p>
    <w:p>
      <w:pPr>
        <w:spacing w:before="0" w:after="120" w:line="276" w:lineRule="auto"/>
        <w:jc w:val="both"/>
      </w:pPr>
      <w:r>
        <w:rPr>
          <w:rFonts w:ascii="Times New Roman" w:hAnsi="Times New Roman"/>
          <w:color w:val="0F172A"/>
          <w:sz w:val="22"/>
        </w:rPr>
        <w:t>To enable non-technical hospital staff (such as physicians and ward nurses) to query complex clinical records without writing SQL, PULSE CORE incorporates an AI Natural Language Translation Engine. The engine uses semantic schema mapping to translate conversational questions (such as 'Show elderly patients with abnormal heart rate and active admissions') into optimized, read-only SQL queries accompanied by plain-English clinical explanations.</w:t>
      </w:r>
    </w:p>
    <w:p>
      <w:pPr>
        <w:keepNext/>
        <w:spacing w:before="160" w:after="40"/>
      </w:pPr>
      <w:r>
        <w:rPr>
          <w:rFonts w:ascii="Times New Roman" w:hAnsi="Times New Roman"/>
          <w:b/>
          <w:i/>
          <w:color w:val="0F172A"/>
          <w:sz w:val="23"/>
        </w:rPr>
        <w:t>3.3.6 3-Model Clinical Machine Learning Pipeline</w:t>
      </w:r>
    </w:p>
    <w:p>
      <w:pPr>
        <w:spacing w:before="0" w:after="120" w:line="276" w:lineRule="auto"/>
        <w:jc w:val="both"/>
      </w:pPr>
      <w:r>
        <w:rPr>
          <w:rFonts w:ascii="Times New Roman" w:hAnsi="Times New Roman"/>
          <w:color w:val="0F172A"/>
          <w:sz w:val="22"/>
        </w:rPr>
        <w:t>PULSE CORE incorporates a multi-model comparative machine learning architecture to provide real-time clinical decision support. The engine extracts a 10-dimensional feature vector for each patient:</w:t>
      </w:r>
    </w:p>
    <w:p>
      <w:pPr>
        <w:pStyle w:val="ListBullet"/>
        <w:spacing w:before="20" w:after="60" w:line="276" w:lineRule="auto"/>
        <w:jc w:val="both"/>
      </w:pPr>
      <w:r>
        <w:rPr>
          <w:rFonts w:ascii="Times New Roman" w:hAnsi="Times New Roman"/>
          <w:b/>
          <w:color w:val="0F172A"/>
          <w:sz w:val="22"/>
        </w:rPr>
        <w:t xml:space="preserve">• 10-Dimensional Vector: </w:t>
      </w:r>
      <w:r>
        <w:rPr>
          <w:rFonts w:ascii="Times New Roman" w:hAnsi="Times New Roman"/>
          <w:color w:val="0F172A"/>
          <w:sz w:val="22"/>
        </w:rPr>
        <w:t>Features: (1) Age, (2) Gender, (3) Prior Admissions, (4) Current Length of Stay, (5) Active Diagnoses Count, (6) Abnormal Lab Results Count, (7) Latest Heart Rate, (8) Systolic Blood Pressure, (9) Oxygen Saturation (SpO2), (10) Active Prescriptions Count.</w:t>
      </w:r>
    </w:p>
    <w:p>
      <w:pPr>
        <w:pStyle w:val="ListBullet"/>
        <w:spacing w:before="20" w:after="60" w:line="276" w:lineRule="auto"/>
        <w:jc w:val="both"/>
      </w:pPr>
      <w:r>
        <w:rPr>
          <w:rFonts w:ascii="Times New Roman" w:hAnsi="Times New Roman"/>
          <w:b/>
          <w:color w:val="0F172A"/>
          <w:sz w:val="22"/>
        </w:rPr>
        <w:t xml:space="preserve">• 3 Model Ensemble: </w:t>
      </w:r>
      <w:r>
        <w:rPr>
          <w:rFonts w:ascii="Times New Roman" w:hAnsi="Times New Roman"/>
          <w:color w:val="0F172A"/>
          <w:sz w:val="22"/>
        </w:rPr>
        <w:t>Models: (1) Logistic Regression (linear baseline), (2) Random Forest Classifier (100 bagged trees, max_depth=8), and (3) XGBoost Classifier (gradient boosted trees, max_depth=5, lr=0.08).</w:t>
      </w:r>
    </w:p>
    <w:p>
      <w:pPr>
        <w:pStyle w:val="ListBullet"/>
        <w:spacing w:before="20" w:after="60" w:line="276" w:lineRule="auto"/>
        <w:jc w:val="both"/>
      </w:pPr>
      <w:r>
        <w:rPr>
          <w:rFonts w:ascii="Times New Roman" w:hAnsi="Times New Roman"/>
          <w:b/>
          <w:color w:val="0F172A"/>
          <w:sz w:val="22"/>
        </w:rPr>
        <w:t xml:space="preserve">• Risk Stratification: </w:t>
      </w:r>
      <w:r>
        <w:rPr>
          <w:rFonts w:ascii="Times New Roman" w:hAnsi="Times New Roman"/>
          <w:color w:val="0F172A"/>
          <w:sz w:val="22"/>
        </w:rPr>
        <w:t>Clinical Outputs: Predicts 30-day hospital readmission probability, extended length of stay (&gt;7 days), and critical deterioration risk, automatically raising alerts in the EHR database upon detecting high-risk scores (&gt;70%).</w:t>
      </w:r>
    </w:p>
    <w:p>
      <w:pPr>
        <w:spacing w:before="160" w:after="60"/>
        <w:jc w:val="center"/>
      </w:pPr>
      <w:r>
        <w:drawing>
          <wp:inline xmlns:a="http://schemas.openxmlformats.org/drawingml/2006/main" xmlns:pic="http://schemas.openxmlformats.org/drawingml/2006/picture">
            <wp:extent cx="5303520" cy="2251134"/>
            <wp:docPr id="10" name="Picture 10"/>
            <wp:cNvGraphicFramePr>
              <a:graphicFrameLocks noChangeAspect="1"/>
            </wp:cNvGraphicFramePr>
            <a:graphic>
              <a:graphicData uri="http://schemas.openxmlformats.org/drawingml/2006/picture">
                <pic:pic>
                  <pic:nvPicPr>
                    <pic:cNvPr id="0" name="ml_pipeline_flow.png"/>
                    <pic:cNvPicPr/>
                  </pic:nvPicPr>
                  <pic:blipFill>
                    <a:blip r:embed="rId12"/>
                    <a:stretch>
                      <a:fillRect/>
                    </a:stretch>
                  </pic:blipFill>
                  <pic:spPr>
                    <a:xfrm>
                      <a:off x="0" y="0"/>
                      <a:ext cx="5303520" cy="2251134"/>
                    </a:xfrm>
                    <a:prstGeom prst="rect"/>
                  </pic:spPr>
                </pic:pic>
              </a:graphicData>
            </a:graphic>
          </wp:inline>
        </w:drawing>
      </w:r>
    </w:p>
    <w:p>
      <w:pPr>
        <w:spacing w:before="0" w:after="200"/>
        <w:jc w:val="center"/>
      </w:pPr>
      <w:r>
        <w:rPr>
          <w:rFonts w:ascii="Times New Roman" w:hAnsi="Times New Roman"/>
          <w:b/>
          <w:color w:val="163A5F"/>
          <w:sz w:val="20"/>
        </w:rPr>
        <w:t>Figure 3.3: 3-Model Clinical Predictive ML Pipeline Architecture &amp; Comparison</w:t>
      </w:r>
    </w:p>
    <w:p>
      <w:pPr>
        <w:keepNext/>
        <w:spacing w:before="160" w:after="40"/>
      </w:pPr>
      <w:r>
        <w:rPr>
          <w:rFonts w:ascii="Times New Roman" w:hAnsi="Times New Roman"/>
          <w:b/>
          <w:i/>
          <w:color w:val="0F172A"/>
          <w:sz w:val="23"/>
        </w:rPr>
        <w:t>3.3.7 Real-Time Telemetry Streaming &amp; WebSocket Hub</w:t>
      </w:r>
    </w:p>
    <w:p>
      <w:pPr>
        <w:spacing w:before="0" w:after="120" w:line="276" w:lineRule="auto"/>
        <w:jc w:val="both"/>
      </w:pPr>
      <w:r>
        <w:rPr>
          <w:rFonts w:ascii="Times New Roman" w:hAnsi="Times New Roman"/>
          <w:color w:val="0F172A"/>
          <w:sz w:val="22"/>
        </w:rPr>
        <w:t>The platform includes an asynchronous WebSocket Gateway ('ws://localhost:8088/ws') enabling bi-directional real-time communication. As physiological vitals (heart rate, blood pressure, SpO2) are ingested, the WebSocket manager broadcasts live telemetry packets to connected clinical dashboards with sub-15 millisecond latency. If vital values violate safe thresholds (e.g. SpO2 &lt; 90% or Heart Rate &gt; 130 bpm), the event service broadcasts high-priority clinical alert payloads to nurse stations immediately.</w:t>
      </w:r>
    </w:p>
    <w:p>
      <w:pPr>
        <w:keepNext/>
        <w:spacing w:before="160" w:after="40"/>
      </w:pPr>
      <w:r>
        <w:rPr>
          <w:rFonts w:ascii="Times New Roman" w:hAnsi="Times New Roman"/>
          <w:b/>
          <w:i/>
          <w:color w:val="0F172A"/>
          <w:sz w:val="23"/>
        </w:rPr>
        <w:t>3.3.8 Full-Stack Web Interface &amp; ReactFlow Plan Visualizer</w:t>
      </w:r>
    </w:p>
    <w:p>
      <w:pPr>
        <w:spacing w:before="0" w:after="120" w:line="276" w:lineRule="auto"/>
        <w:jc w:val="both"/>
      </w:pPr>
      <w:r>
        <w:rPr>
          <w:rFonts w:ascii="Times New Roman" w:hAnsi="Times New Roman"/>
          <w:color w:val="0F172A"/>
          <w:sz w:val="22"/>
        </w:rPr>
        <w:t>The frontend delivers a rich single-page experience designed according to modern clinical ergonomic guidelines. Key pages include the Executive Dashboard, Interactive SQL Workspace, Adaptive Optimizer, Predictive Risk Center, Live ICU Telemetry Stream, Patient Registry, Bed Census Management, Clinical Alerts Center, Security Audit Logs, and System Administration. In the Query Workspace, the query plan is rendered as an interactive, draggable node-graph using ReactFlow, visually mapping plan operators (Seq Scan, Index Scan, Hash Join, Aggregate) with color-coded cost intensity.</w:t>
      </w:r>
    </w:p>
    <w:p>
      <w:pPr>
        <w:keepNext/>
        <w:spacing w:before="240" w:after="80"/>
      </w:pPr>
      <w:r>
        <w:rPr>
          <w:rFonts w:ascii="Times New Roman" w:hAnsi="Times New Roman"/>
          <w:b/>
          <w:color w:val="0E7490"/>
          <w:sz w:val="25"/>
        </w:rPr>
        <w:t>3.4 Engineering Standards Applied</w:t>
      </w:r>
    </w:p>
    <w:p>
      <w:pPr>
        <w:spacing w:before="0" w:after="120" w:line="276" w:lineRule="auto"/>
        <w:jc w:val="both"/>
      </w:pPr>
      <w:r>
        <w:rPr>
          <w:rFonts w:ascii="Times New Roman" w:hAnsi="Times New Roman"/>
          <w:color w:val="0F172A"/>
          <w:sz w:val="22"/>
        </w:rPr>
        <w:t>PULSE CORE strictly complies with recognized software engineering and healthcare informatics standards:</w:t>
      </w:r>
    </w:p>
    <w:p>
      <w:pPr>
        <w:pStyle w:val="ListBullet"/>
        <w:spacing w:before="20" w:after="60" w:line="276" w:lineRule="auto"/>
        <w:jc w:val="both"/>
      </w:pPr>
      <w:r>
        <w:rPr>
          <w:rFonts w:ascii="Times New Roman" w:hAnsi="Times New Roman"/>
          <w:b/>
          <w:color w:val="0F172A"/>
          <w:sz w:val="22"/>
        </w:rPr>
        <w:t xml:space="preserve">• ISO/IEC/IEEE 12207 (Software Life Cycle): </w:t>
      </w:r>
      <w:r>
        <w:rPr>
          <w:rFonts w:ascii="Times New Roman" w:hAnsi="Times New Roman"/>
          <w:color w:val="0F172A"/>
          <w:sz w:val="22"/>
        </w:rPr>
        <w:t>Ensures structured requirements analysis, modular architectural decomposition, unit/integration testing, and maintainability.</w:t>
      </w:r>
    </w:p>
    <w:p>
      <w:pPr>
        <w:pStyle w:val="ListBullet"/>
        <w:spacing w:before="20" w:after="60" w:line="276" w:lineRule="auto"/>
        <w:jc w:val="both"/>
      </w:pPr>
      <w:r>
        <w:rPr>
          <w:rFonts w:ascii="Times New Roman" w:hAnsi="Times New Roman"/>
          <w:b/>
          <w:color w:val="0F172A"/>
          <w:sz w:val="22"/>
        </w:rPr>
        <w:t xml:space="preserve">• HIPAA Security Rule (45 CFR Part 160/164): </w:t>
      </w:r>
      <w:r>
        <w:rPr>
          <w:rFonts w:ascii="Times New Roman" w:hAnsi="Times New Roman"/>
          <w:color w:val="0F172A"/>
          <w:sz w:val="22"/>
        </w:rPr>
        <w:t>Implements Role-Based Access Control (RBAC), password hashing with bcrypt, JWT token expiration, and immutable audit logging for all database queries and user actions.</w:t>
      </w:r>
    </w:p>
    <w:p>
      <w:pPr>
        <w:pStyle w:val="ListBullet"/>
        <w:spacing w:before="20" w:after="60" w:line="276" w:lineRule="auto"/>
        <w:jc w:val="both"/>
      </w:pPr>
      <w:r>
        <w:rPr>
          <w:rFonts w:ascii="Times New Roman" w:hAnsi="Times New Roman"/>
          <w:b/>
          <w:color w:val="0F172A"/>
          <w:sz w:val="22"/>
        </w:rPr>
        <w:t xml:space="preserve">• HL7 FHIR Alignment: </w:t>
      </w:r>
      <w:r>
        <w:rPr>
          <w:rFonts w:ascii="Times New Roman" w:hAnsi="Times New Roman"/>
          <w:color w:val="0F172A"/>
          <w:sz w:val="22"/>
        </w:rPr>
        <w:t>Patient, Admission, Vital, and Observation data models mirror FHIR Resource structures for seamless healthcare interoperability.</w:t>
      </w:r>
    </w:p>
    <w:p>
      <w:pPr>
        <w:pStyle w:val="ListBullet"/>
        <w:spacing w:before="20" w:after="60" w:line="276" w:lineRule="auto"/>
        <w:jc w:val="both"/>
      </w:pPr>
      <w:r>
        <w:rPr>
          <w:rFonts w:ascii="Times New Roman" w:hAnsi="Times New Roman"/>
          <w:b/>
          <w:color w:val="0F172A"/>
          <w:sz w:val="22"/>
        </w:rPr>
        <w:t xml:space="preserve">• OWASP Top 10 Security Guardrails: </w:t>
      </w:r>
      <w:r>
        <w:rPr>
          <w:rFonts w:ascii="Times New Roman" w:hAnsi="Times New Roman"/>
          <w:color w:val="0F172A"/>
          <w:sz w:val="22"/>
        </w:rPr>
        <w:t>Strict AST query validation prevents SQL injection (A03:2021) and Broken Access Control (A01:2021).</w:t>
      </w:r>
    </w:p>
    <w:p>
      <w:pPr>
        <w:pStyle w:val="ListBullet"/>
        <w:spacing w:before="20" w:after="60" w:line="276" w:lineRule="auto"/>
        <w:jc w:val="both"/>
      </w:pPr>
      <w:r>
        <w:rPr>
          <w:rFonts w:ascii="Times New Roman" w:hAnsi="Times New Roman"/>
          <w:b/>
          <w:color w:val="0F172A"/>
          <w:sz w:val="22"/>
        </w:rPr>
        <w:t xml:space="preserve">• WCAG 2.1 Accessibility: </w:t>
      </w:r>
      <w:r>
        <w:rPr>
          <w:rFonts w:ascii="Times New Roman" w:hAnsi="Times New Roman"/>
          <w:color w:val="0F172A"/>
          <w:sz w:val="22"/>
        </w:rPr>
        <w:t>Ensures accessible clinical data representations with WCAG 2.1 AA compliant color contrast ratios.</w:t>
      </w:r>
    </w:p>
    <w:p>
      <w:pPr>
        <w:keepNext/>
        <w:spacing w:before="240" w:after="80"/>
      </w:pPr>
      <w:r>
        <w:rPr>
          <w:rFonts w:ascii="Times New Roman" w:hAnsi="Times New Roman"/>
          <w:b/>
          <w:color w:val="0E7490"/>
          <w:sz w:val="25"/>
        </w:rPr>
        <w:t>3.5 Solution Justification &amp; Comparative Rationale</w:t>
      </w:r>
    </w:p>
    <w:p>
      <w:pPr>
        <w:spacing w:before="0" w:after="120" w:line="276" w:lineRule="auto"/>
        <w:jc w:val="both"/>
      </w:pPr>
      <w:r>
        <w:rPr>
          <w:rFonts w:ascii="Times New Roman" w:hAnsi="Times New Roman"/>
          <w:color w:val="0F172A"/>
          <w:sz w:val="22"/>
        </w:rPr>
        <w:t>Traditional database tuning relies on manual DBA index creation or static rules that do not consider actual runtime selectivity. In contrast, PULSE CORE combines AST semantic inspection with dynamic EXPLAIN ANALYZE execution trees and automated A/B verification. This closed-loop approach guarantees that indexes are only recommended when empirical evidence confirms significant speedup and buffer reduction. In the ML domain, comparing Logistic Regression, Random Forest, and XGBoost provides clinical transparency, allowing clinicians to evaluate both linear interpretability and nonlinear gradient-boosted precision.</w:t>
      </w:r>
    </w:p>
    <w:p>
      <w:r>
        <w:br w:type="page"/>
      </w:r>
    </w:p>
    <w:p>
      <w:pPr>
        <w:keepNext/>
        <w:spacing w:before="360" w:after="120"/>
      </w:pPr>
      <w:r>
        <w:rPr>
          <w:rFonts w:ascii="Times New Roman" w:hAnsi="Times New Roman"/>
          <w:b/>
          <w:color w:val="163A5F"/>
          <w:sz w:val="28"/>
        </w:rPr>
        <w:t>CHAPTER 4: RESULTS AND RECOMMENDATIONS</w:t>
      </w:r>
    </w:p>
    <w:p>
      <w:pPr>
        <w:keepNext/>
        <w:spacing w:before="240" w:after="80"/>
      </w:pPr>
      <w:r>
        <w:rPr>
          <w:rFonts w:ascii="Times New Roman" w:hAnsi="Times New Roman"/>
          <w:b/>
          <w:color w:val="0E7490"/>
          <w:sz w:val="25"/>
        </w:rPr>
        <w:t>4.1 Evaluation of Experimental Results</w:t>
      </w:r>
    </w:p>
    <w:p>
      <w:pPr>
        <w:spacing w:before="0" w:after="120" w:line="276" w:lineRule="auto"/>
        <w:jc w:val="both"/>
      </w:pPr>
      <w:r>
        <w:rPr>
          <w:rFonts w:ascii="Times New Roman" w:hAnsi="Times New Roman"/>
          <w:color w:val="0F172A"/>
          <w:sz w:val="22"/>
        </w:rPr>
        <w:t>The performance of PULSE CORE was rigorously evaluated across three core dimensions: Query Execution Latency, Buffer Cache I/O Reduction, and Machine Learning Predictive Accuracy.</w:t>
      </w:r>
    </w:p>
    <w:p>
      <w:pPr>
        <w:keepNext/>
        <w:spacing w:before="160" w:after="40"/>
      </w:pPr>
      <w:r>
        <w:rPr>
          <w:rFonts w:ascii="Times New Roman" w:hAnsi="Times New Roman"/>
          <w:b/>
          <w:i/>
          <w:color w:val="0F172A"/>
          <w:sz w:val="23"/>
        </w:rPr>
        <w:t>4.1.1 Query Execution Speedup Benchmarks</w:t>
      </w:r>
    </w:p>
    <w:p>
      <w:pPr>
        <w:spacing w:before="0" w:after="120" w:line="276" w:lineRule="auto"/>
        <w:jc w:val="both"/>
      </w:pPr>
      <w:r>
        <w:rPr>
          <w:rFonts w:ascii="Times New Roman" w:hAnsi="Times New Roman"/>
          <w:color w:val="0F172A"/>
          <w:sz w:val="22"/>
        </w:rPr>
        <w:t>A benchmark suite of four representative healthcare query workloads was executed on PostgreSQL 16 before and after applying the Adaptive Optimizer's recommended index structures. Table 4.1 outlines the benchmark results across multiple timed runs.</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CBD5E1"/>
          <w:insideV w:val="none"/>
          <w:left w:val="none"/>
          <w:right w:val="none"/>
        </w:tblBorders>
      </w:tblPr>
      <w:tblGrid>
        <w:gridCol w:w="1560"/>
        <w:gridCol w:w="1560"/>
        <w:gridCol w:w="1560"/>
        <w:gridCol w:w="1560"/>
        <w:gridCol w:w="1560"/>
        <w:gridCol w:w="1560"/>
      </w:tblGrid>
      <w:tr>
        <w:tc>
          <w:tcPr>
            <w:tcW w:type="dxa" w:w="1584"/>
            <w:shd w:fill="163A5F"/>
            <w:tcMar>
              <w:top w:w="120" w:type="dxa"/>
              <w:bottom w:w="120" w:type="dxa"/>
              <w:left w:w="120" w:type="dxa"/>
              <w:right w:w="120" w:type="dxa"/>
            </w:tcMar>
            <w:vAlign w:val="center"/>
          </w:tcPr>
          <w:p>
            <w:pPr>
              <w:spacing w:before="0" w:after="0"/>
              <w:jc w:val="center"/>
            </w:pPr>
            <w:r>
              <w:rPr>
                <w:rFonts w:ascii="Times New Roman" w:hAnsi="Times New Roman"/>
                <w:b/>
                <w:color w:val="FFFFFF"/>
                <w:sz w:val="19"/>
              </w:rPr>
              <w:t>Workload ID</w:t>
            </w:r>
          </w:p>
        </w:tc>
        <w:tc>
          <w:tcPr>
            <w:tcW w:type="dxa" w:w="3312"/>
            <w:shd w:fill="163A5F"/>
            <w:tcMar>
              <w:top w:w="120" w:type="dxa"/>
              <w:bottom w:w="120" w:type="dxa"/>
              <w:left w:w="120" w:type="dxa"/>
              <w:right w:w="120" w:type="dxa"/>
            </w:tcMar>
            <w:vAlign w:val="center"/>
          </w:tcPr>
          <w:p>
            <w:pPr>
              <w:spacing w:before="0" w:after="0"/>
              <w:jc w:val="center"/>
            </w:pPr>
            <w:r>
              <w:rPr>
                <w:rFonts w:ascii="Times New Roman" w:hAnsi="Times New Roman"/>
                <w:b/>
                <w:color w:val="FFFFFF"/>
                <w:sz w:val="19"/>
              </w:rPr>
              <w:t>Query Description</w:t>
            </w:r>
          </w:p>
        </w:tc>
        <w:tc>
          <w:tcPr>
            <w:tcW w:type="dxa" w:w="1728"/>
            <w:shd w:fill="163A5F"/>
            <w:tcMar>
              <w:top w:w="120" w:type="dxa"/>
              <w:bottom w:w="120" w:type="dxa"/>
              <w:left w:w="120" w:type="dxa"/>
              <w:right w:w="120" w:type="dxa"/>
            </w:tcMar>
            <w:vAlign w:val="center"/>
          </w:tcPr>
          <w:p>
            <w:pPr>
              <w:spacing w:before="0" w:after="0"/>
              <w:jc w:val="center"/>
            </w:pPr>
            <w:r>
              <w:rPr>
                <w:rFonts w:ascii="Times New Roman" w:hAnsi="Times New Roman"/>
                <w:b/>
                <w:color w:val="FFFFFF"/>
                <w:sz w:val="19"/>
              </w:rPr>
              <w:t>Unindexed Time (ms)</w:t>
            </w:r>
          </w:p>
        </w:tc>
        <w:tc>
          <w:tcPr>
            <w:tcW w:type="dxa" w:w="1728"/>
            <w:shd w:fill="163A5F"/>
            <w:tcMar>
              <w:top w:w="120" w:type="dxa"/>
              <w:bottom w:w="120" w:type="dxa"/>
              <w:left w:w="120" w:type="dxa"/>
              <w:right w:w="120" w:type="dxa"/>
            </w:tcMar>
            <w:vAlign w:val="center"/>
          </w:tcPr>
          <w:p>
            <w:pPr>
              <w:spacing w:before="0" w:after="0"/>
              <w:jc w:val="center"/>
            </w:pPr>
            <w:r>
              <w:rPr>
                <w:rFonts w:ascii="Times New Roman" w:hAnsi="Times New Roman"/>
                <w:b/>
                <w:color w:val="FFFFFF"/>
                <w:sz w:val="19"/>
              </w:rPr>
              <w:t>Optimized Time (ms)</w:t>
            </w:r>
          </w:p>
        </w:tc>
        <w:tc>
          <w:tcPr>
            <w:tcW w:type="dxa" w:w="1440"/>
            <w:shd w:fill="163A5F"/>
            <w:tcMar>
              <w:top w:w="120" w:type="dxa"/>
              <w:bottom w:w="120" w:type="dxa"/>
              <w:left w:w="120" w:type="dxa"/>
              <w:right w:w="120" w:type="dxa"/>
            </w:tcMar>
            <w:vAlign w:val="center"/>
          </w:tcPr>
          <w:p>
            <w:pPr>
              <w:spacing w:before="0" w:after="0"/>
              <w:jc w:val="center"/>
            </w:pPr>
            <w:r>
              <w:rPr>
                <w:rFonts w:ascii="Times New Roman" w:hAnsi="Times New Roman"/>
                <w:b/>
                <w:color w:val="FFFFFF"/>
                <w:sz w:val="19"/>
              </w:rPr>
              <w:t>Speedup Factor</w:t>
            </w:r>
          </w:p>
        </w:tc>
        <w:tc>
          <w:tcPr>
            <w:tcW w:type="dxa" w:w="1440"/>
            <w:shd w:fill="163A5F"/>
            <w:tcMar>
              <w:top w:w="120" w:type="dxa"/>
              <w:bottom w:w="120" w:type="dxa"/>
              <w:left w:w="120" w:type="dxa"/>
              <w:right w:w="120" w:type="dxa"/>
            </w:tcMar>
            <w:vAlign w:val="center"/>
          </w:tcPr>
          <w:p>
            <w:pPr>
              <w:spacing w:before="0" w:after="0"/>
              <w:jc w:val="center"/>
            </w:pPr>
            <w:r>
              <w:rPr>
                <w:rFonts w:ascii="Times New Roman" w:hAnsi="Times New Roman"/>
                <w:b/>
                <w:color w:val="FFFFFF"/>
                <w:sz w:val="19"/>
              </w:rPr>
              <w:t>Cost Reduction</w:t>
            </w:r>
          </w:p>
        </w:tc>
      </w:tr>
      <w:tr>
        <w:tc>
          <w:tcPr>
            <w:tcW w:type="dxa" w:w="1584"/>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Q1: Vitals Filter</w:t>
            </w:r>
          </w:p>
        </w:tc>
        <w:tc>
          <w:tcPr>
            <w:tcW w:type="dxa" w:w="3312"/>
            <w:shd w:fill="FFFFFF"/>
            <w:tcMar>
              <w:top w:w="90" w:type="dxa"/>
              <w:bottom w:w="90" w:type="dxa"/>
              <w:left w:w="120" w:type="dxa"/>
              <w:right w:w="120" w:type="dxa"/>
            </w:tcMar>
            <w:vAlign w:val="center"/>
          </w:tcPr>
          <w:p>
            <w:pPr>
              <w:spacing w:before="0" w:after="0"/>
              <w:jc w:val="left"/>
            </w:pPr>
            <w:r>
              <w:rPr>
                <w:rFonts w:ascii="Times New Roman" w:hAnsi="Times New Roman"/>
                <w:color w:val="0F172A"/>
                <w:sz w:val="18"/>
              </w:rPr>
              <w:t>SELECT abnormal vitals for hypertensive cohort</w:t>
            </w:r>
          </w:p>
        </w:tc>
        <w:tc>
          <w:tcPr>
            <w:tcW w:type="dxa" w:w="1728"/>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38.42 ms</w:t>
            </w:r>
          </w:p>
        </w:tc>
        <w:tc>
          <w:tcPr>
            <w:tcW w:type="dxa" w:w="1728"/>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1.08 ms</w:t>
            </w:r>
          </w:p>
        </w:tc>
        <w:tc>
          <w:tcPr>
            <w:tcW w:type="dxa" w:w="1440"/>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35.57x</w:t>
            </w:r>
          </w:p>
        </w:tc>
        <w:tc>
          <w:tcPr>
            <w:tcW w:type="dxa" w:w="1440"/>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97.1%</w:t>
            </w:r>
          </w:p>
        </w:tc>
      </w:tr>
      <w:tr>
        <w:tc>
          <w:tcPr>
            <w:tcW w:type="dxa" w:w="1584"/>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Q2: Patient-Admission</w:t>
            </w:r>
          </w:p>
        </w:tc>
        <w:tc>
          <w:tcPr>
            <w:tcW w:type="dxa" w:w="3312"/>
            <w:shd w:fill="F8FAFC"/>
            <w:tcMar>
              <w:top w:w="90" w:type="dxa"/>
              <w:bottom w:w="90" w:type="dxa"/>
              <w:left w:w="120" w:type="dxa"/>
              <w:right w:w="120" w:type="dxa"/>
            </w:tcMar>
            <w:vAlign w:val="center"/>
          </w:tcPr>
          <w:p>
            <w:pPr>
              <w:spacing w:before="0" w:after="0"/>
              <w:jc w:val="left"/>
            </w:pPr>
            <w:r>
              <w:rPr>
                <w:rFonts w:ascii="Times New Roman" w:hAnsi="Times New Roman"/>
                <w:color w:val="0F172A"/>
                <w:sz w:val="18"/>
              </w:rPr>
              <w:t>JOIN patients + admissions on status='admitted'</w:t>
            </w:r>
          </w:p>
        </w:tc>
        <w:tc>
          <w:tcPr>
            <w:tcW w:type="dxa" w:w="1728"/>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64.15 ms</w:t>
            </w:r>
          </w:p>
        </w:tc>
        <w:tc>
          <w:tcPr>
            <w:tcW w:type="dxa" w:w="1728"/>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4.21 ms</w:t>
            </w:r>
          </w:p>
        </w:tc>
        <w:tc>
          <w:tcPr>
            <w:tcW w:type="dxa" w:w="1440"/>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15.24x</w:t>
            </w:r>
          </w:p>
        </w:tc>
        <w:tc>
          <w:tcPr>
            <w:tcW w:type="dxa" w:w="1440"/>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93.4%</w:t>
            </w:r>
          </w:p>
        </w:tc>
      </w:tr>
      <w:tr>
        <w:tc>
          <w:tcPr>
            <w:tcW w:type="dxa" w:w="1584"/>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Q3: Multi-Table Lab</w:t>
            </w:r>
          </w:p>
        </w:tc>
        <w:tc>
          <w:tcPr>
            <w:tcW w:type="dxa" w:w="3312"/>
            <w:shd w:fill="FFFFFF"/>
            <w:tcMar>
              <w:top w:w="90" w:type="dxa"/>
              <w:bottom w:w="90" w:type="dxa"/>
              <w:left w:w="120" w:type="dxa"/>
              <w:right w:w="120" w:type="dxa"/>
            </w:tcMar>
            <w:vAlign w:val="center"/>
          </w:tcPr>
          <w:p>
            <w:pPr>
              <w:spacing w:before="0" w:after="0"/>
              <w:jc w:val="left"/>
            </w:pPr>
            <w:r>
              <w:rPr>
                <w:rFonts w:ascii="Times New Roman" w:hAnsi="Times New Roman"/>
                <w:color w:val="0F172A"/>
                <w:sz w:val="18"/>
              </w:rPr>
              <w:t>JOIN patients + labs + vitals on cardiac tests</w:t>
            </w:r>
          </w:p>
        </w:tc>
        <w:tc>
          <w:tcPr>
            <w:tcW w:type="dxa" w:w="1728"/>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148.80 ms</w:t>
            </w:r>
          </w:p>
        </w:tc>
        <w:tc>
          <w:tcPr>
            <w:tcW w:type="dxa" w:w="1728"/>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12.60 ms</w:t>
            </w:r>
          </w:p>
        </w:tc>
        <w:tc>
          <w:tcPr>
            <w:tcW w:type="dxa" w:w="1440"/>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11.81x</w:t>
            </w:r>
          </w:p>
        </w:tc>
        <w:tc>
          <w:tcPr>
            <w:tcW w:type="dxa" w:w="1440"/>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91.5%</w:t>
            </w:r>
          </w:p>
        </w:tc>
      </w:tr>
      <w:tr>
        <w:tc>
          <w:tcPr>
            <w:tcW w:type="dxa" w:w="1584"/>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Q4: Complex Clinical Aggregate</w:t>
            </w:r>
          </w:p>
        </w:tc>
        <w:tc>
          <w:tcPr>
            <w:tcW w:type="dxa" w:w="3312"/>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5-Table Join: Patients, Adm, Vitals, Labs, Dx</w:t>
            </w:r>
          </w:p>
        </w:tc>
        <w:tc>
          <w:tcPr>
            <w:tcW w:type="dxa" w:w="1728"/>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312.50 ms</w:t>
            </w:r>
          </w:p>
        </w:tc>
        <w:tc>
          <w:tcPr>
            <w:tcW w:type="dxa" w:w="1728"/>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37.20 ms</w:t>
            </w:r>
          </w:p>
        </w:tc>
        <w:tc>
          <w:tcPr>
            <w:tcW w:type="dxa" w:w="1440"/>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8.40x</w:t>
            </w:r>
          </w:p>
        </w:tc>
        <w:tc>
          <w:tcPr>
            <w:tcW w:type="dxa" w:w="1440"/>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88.1%</w:t>
            </w:r>
          </w:p>
        </w:tc>
      </w:tr>
    </w:tbl>
    <w:p>
      <w:pPr>
        <w:spacing w:before="0" w:after="120"/>
      </w:pPr>
    </w:p>
    <w:p>
      <w:pPr>
        <w:keepNext/>
        <w:spacing w:before="160" w:after="40"/>
      </w:pPr>
      <w:r>
        <w:rPr>
          <w:rFonts w:ascii="Times New Roman" w:hAnsi="Times New Roman"/>
          <w:b/>
          <w:i/>
          <w:color w:val="0F172A"/>
          <w:sz w:val="23"/>
        </w:rPr>
        <w:t>4.1.2 Buffer Cache &amp; Disk I/O Improvements</w:t>
      </w:r>
    </w:p>
    <w:p>
      <w:pPr>
        <w:spacing w:before="0" w:after="120" w:line="276" w:lineRule="auto"/>
        <w:jc w:val="both"/>
      </w:pPr>
      <w:r>
        <w:rPr>
          <w:rFonts w:ascii="Times New Roman" w:hAnsi="Times New Roman"/>
          <w:color w:val="0F172A"/>
          <w:sz w:val="22"/>
        </w:rPr>
        <w:t>The impact of index optimization on PostgreSQL buffer memory access was captured via EXPLAIN (BUFFERS). As detailed in Table 4.2, indexing reduced shared disk block reads by 98.4%, dramatically mitigating memory cache churn.</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CBD5E1"/>
          <w:insideV w:val="none"/>
          <w:left w:val="none"/>
          <w:right w:val="none"/>
        </w:tblBorders>
      </w:tblPr>
      <w:tblGrid>
        <w:gridCol w:w="2340"/>
        <w:gridCol w:w="2340"/>
        <w:gridCol w:w="2340"/>
        <w:gridCol w:w="2340"/>
      </w:tblGrid>
      <w:tr>
        <w:tc>
          <w:tcPr>
            <w:tcW w:type="dxa" w:w="2592"/>
            <w:shd w:fill="163A5F"/>
            <w:tcMar>
              <w:top w:w="120" w:type="dxa"/>
              <w:bottom w:w="120" w:type="dxa"/>
              <w:left w:w="120" w:type="dxa"/>
              <w:right w:w="120" w:type="dxa"/>
            </w:tcMar>
            <w:vAlign w:val="center"/>
          </w:tcPr>
          <w:p>
            <w:pPr>
              <w:spacing w:before="0" w:after="0"/>
              <w:jc w:val="center"/>
            </w:pPr>
            <w:r>
              <w:rPr>
                <w:rFonts w:ascii="Times New Roman" w:hAnsi="Times New Roman"/>
                <w:b/>
                <w:color w:val="FFFFFF"/>
                <w:sz w:val="19"/>
              </w:rPr>
              <w:t>Metric Category</w:t>
            </w:r>
          </w:p>
        </w:tc>
        <w:tc>
          <w:tcPr>
            <w:tcW w:type="dxa" w:w="2304"/>
            <w:shd w:fill="163A5F"/>
            <w:tcMar>
              <w:top w:w="120" w:type="dxa"/>
              <w:bottom w:w="120" w:type="dxa"/>
              <w:left w:w="120" w:type="dxa"/>
              <w:right w:w="120" w:type="dxa"/>
            </w:tcMar>
            <w:vAlign w:val="center"/>
          </w:tcPr>
          <w:p>
            <w:pPr>
              <w:spacing w:before="0" w:after="0"/>
              <w:jc w:val="center"/>
            </w:pPr>
            <w:r>
              <w:rPr>
                <w:rFonts w:ascii="Times New Roman" w:hAnsi="Times New Roman"/>
                <w:b/>
                <w:color w:val="FFFFFF"/>
                <w:sz w:val="19"/>
              </w:rPr>
              <w:t>Unindexed Baseline</w:t>
            </w:r>
          </w:p>
        </w:tc>
        <w:tc>
          <w:tcPr>
            <w:tcW w:type="dxa" w:w="2304"/>
            <w:shd w:fill="163A5F"/>
            <w:tcMar>
              <w:top w:w="120" w:type="dxa"/>
              <w:bottom w:w="120" w:type="dxa"/>
              <w:left w:w="120" w:type="dxa"/>
              <w:right w:w="120" w:type="dxa"/>
            </w:tcMar>
            <w:vAlign w:val="center"/>
          </w:tcPr>
          <w:p>
            <w:pPr>
              <w:spacing w:before="0" w:after="0"/>
              <w:jc w:val="center"/>
            </w:pPr>
            <w:r>
              <w:rPr>
                <w:rFonts w:ascii="Times New Roman" w:hAnsi="Times New Roman"/>
                <w:b/>
                <w:color w:val="FFFFFF"/>
                <w:sz w:val="19"/>
              </w:rPr>
              <w:t>Optimized Structure</w:t>
            </w:r>
          </w:p>
        </w:tc>
        <w:tc>
          <w:tcPr>
            <w:tcW w:type="dxa" w:w="2592"/>
            <w:shd w:fill="163A5F"/>
            <w:tcMar>
              <w:top w:w="120" w:type="dxa"/>
              <w:bottom w:w="120" w:type="dxa"/>
              <w:left w:w="120" w:type="dxa"/>
              <w:right w:w="120" w:type="dxa"/>
            </w:tcMar>
            <w:vAlign w:val="center"/>
          </w:tcPr>
          <w:p>
            <w:pPr>
              <w:spacing w:before="0" w:after="0"/>
              <w:jc w:val="center"/>
            </w:pPr>
            <w:r>
              <w:rPr>
                <w:rFonts w:ascii="Times New Roman" w:hAnsi="Times New Roman"/>
                <w:b/>
                <w:color w:val="FFFFFF"/>
                <w:sz w:val="19"/>
              </w:rPr>
              <w:t>Improvement (%)</w:t>
            </w:r>
          </w:p>
        </w:tc>
      </w:tr>
      <w:tr>
        <w:tc>
          <w:tcPr>
            <w:tcW w:type="dxa" w:w="2592"/>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Shared Buffer Hits</w:t>
            </w:r>
          </w:p>
        </w:tc>
        <w:tc>
          <w:tcPr>
            <w:tcW w:type="dxa" w:w="2304"/>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248 blocks</w:t>
            </w:r>
          </w:p>
        </w:tc>
        <w:tc>
          <w:tcPr>
            <w:tcW w:type="dxa" w:w="2304"/>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1,890 blocks</w:t>
            </w:r>
          </w:p>
        </w:tc>
        <w:tc>
          <w:tcPr>
            <w:tcW w:type="dxa" w:w="2592"/>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+662.1% (In-Memory Access)</w:t>
            </w:r>
          </w:p>
        </w:tc>
      </w:tr>
      <w:tr>
        <w:tc>
          <w:tcPr>
            <w:tcW w:type="dxa" w:w="2592"/>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Shared Disk Reads</w:t>
            </w:r>
          </w:p>
        </w:tc>
        <w:tc>
          <w:tcPr>
            <w:tcW w:type="dxa" w:w="2304"/>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1,420 blocks</w:t>
            </w:r>
          </w:p>
        </w:tc>
        <w:tc>
          <w:tcPr>
            <w:tcW w:type="dxa" w:w="2304"/>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22 blocks</w:t>
            </w:r>
          </w:p>
        </w:tc>
        <w:tc>
          <w:tcPr>
            <w:tcW w:type="dxa" w:w="2592"/>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-98.4% (I/O Reduction)</w:t>
            </w:r>
          </w:p>
        </w:tc>
      </w:tr>
      <w:tr>
        <w:tc>
          <w:tcPr>
            <w:tcW w:type="dxa" w:w="2592"/>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Dirty Blocks Written</w:t>
            </w:r>
          </w:p>
        </w:tc>
        <w:tc>
          <w:tcPr>
            <w:tcW w:type="dxa" w:w="2304"/>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38 blocks</w:t>
            </w:r>
          </w:p>
        </w:tc>
        <w:tc>
          <w:tcPr>
            <w:tcW w:type="dxa" w:w="2304"/>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0 blocks</w:t>
            </w:r>
          </w:p>
        </w:tc>
        <w:tc>
          <w:tcPr>
            <w:tcW w:type="dxa" w:w="2592"/>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-100.0% (Zero Churn)</w:t>
            </w:r>
          </w:p>
        </w:tc>
      </w:tr>
      <w:tr>
        <w:tc>
          <w:tcPr>
            <w:tcW w:type="dxa" w:w="2592"/>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Planning Time</w:t>
            </w:r>
          </w:p>
        </w:tc>
        <w:tc>
          <w:tcPr>
            <w:tcW w:type="dxa" w:w="2304"/>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1.42 ms</w:t>
            </w:r>
          </w:p>
        </w:tc>
        <w:tc>
          <w:tcPr>
            <w:tcW w:type="dxa" w:w="2304"/>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0.85 ms</w:t>
            </w:r>
          </w:p>
        </w:tc>
        <w:tc>
          <w:tcPr>
            <w:tcW w:type="dxa" w:w="2592"/>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-40.1% (Faster Plan Resolution)</w:t>
            </w:r>
          </w:p>
        </w:tc>
      </w:tr>
    </w:tbl>
    <w:p>
      <w:pPr>
        <w:spacing w:before="0" w:after="120"/>
      </w:pPr>
    </w:p>
    <w:p>
      <w:pPr>
        <w:keepNext/>
        <w:spacing w:before="160" w:after="40"/>
      </w:pPr>
      <w:r>
        <w:rPr>
          <w:rFonts w:ascii="Times New Roman" w:hAnsi="Times New Roman"/>
          <w:b/>
          <w:i/>
          <w:color w:val="0F172A"/>
          <w:sz w:val="23"/>
        </w:rPr>
        <w:t>4.1.3 Machine Learning Model Comparison</w:t>
      </w:r>
    </w:p>
    <w:p>
      <w:pPr>
        <w:spacing w:before="0" w:after="120" w:line="276" w:lineRule="auto"/>
        <w:jc w:val="both"/>
      </w:pPr>
      <w:r>
        <w:rPr>
          <w:rFonts w:ascii="Times New Roman" w:hAnsi="Times New Roman"/>
          <w:color w:val="0F172A"/>
          <w:sz w:val="22"/>
        </w:rPr>
        <w:t>The 3-model predictive clinical pipeline was evaluated on an 80/20 train/test split of 2,500 longitudinal clinical feature vectors. As summarized in Table 4.3, XGBoost demonstrated superior classification performance across all metrics.</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CBD5E1"/>
          <w:insideV w:val="none"/>
          <w:left w:val="none"/>
          <w:right w:val="none"/>
        </w:tblBorders>
      </w:tblPr>
      <w:tblGrid>
        <w:gridCol w:w="1560"/>
        <w:gridCol w:w="1560"/>
        <w:gridCol w:w="1560"/>
        <w:gridCol w:w="1560"/>
        <w:gridCol w:w="1560"/>
        <w:gridCol w:w="1560"/>
      </w:tblGrid>
      <w:tr>
        <w:tc>
          <w:tcPr>
            <w:tcW w:type="dxa" w:w="3168"/>
            <w:shd w:fill="163A5F"/>
            <w:tcMar>
              <w:top w:w="120" w:type="dxa"/>
              <w:bottom w:w="120" w:type="dxa"/>
              <w:left w:w="120" w:type="dxa"/>
              <w:right w:w="120" w:type="dxa"/>
            </w:tcMar>
            <w:vAlign w:val="center"/>
          </w:tcPr>
          <w:p>
            <w:pPr>
              <w:spacing w:before="0" w:after="0"/>
              <w:jc w:val="center"/>
            </w:pPr>
            <w:r>
              <w:rPr>
                <w:rFonts w:ascii="Times New Roman" w:hAnsi="Times New Roman"/>
                <w:b/>
                <w:color w:val="FFFFFF"/>
                <w:sz w:val="19"/>
              </w:rPr>
              <w:t>Machine Learning Model</w:t>
            </w:r>
          </w:p>
        </w:tc>
        <w:tc>
          <w:tcPr>
            <w:tcW w:type="dxa" w:w="1440"/>
            <w:shd w:fill="163A5F"/>
            <w:tcMar>
              <w:top w:w="120" w:type="dxa"/>
              <w:bottom w:w="120" w:type="dxa"/>
              <w:left w:w="120" w:type="dxa"/>
              <w:right w:w="120" w:type="dxa"/>
            </w:tcMar>
            <w:vAlign w:val="center"/>
          </w:tcPr>
          <w:p>
            <w:pPr>
              <w:spacing w:before="0" w:after="0"/>
              <w:jc w:val="center"/>
            </w:pPr>
            <w:r>
              <w:rPr>
                <w:rFonts w:ascii="Times New Roman" w:hAnsi="Times New Roman"/>
                <w:b/>
                <w:color w:val="FFFFFF"/>
                <w:sz w:val="19"/>
              </w:rPr>
              <w:t>Accuracy</w:t>
            </w:r>
          </w:p>
        </w:tc>
        <w:tc>
          <w:tcPr>
            <w:tcW w:type="dxa" w:w="1440"/>
            <w:shd w:fill="163A5F"/>
            <w:tcMar>
              <w:top w:w="120" w:type="dxa"/>
              <w:bottom w:w="120" w:type="dxa"/>
              <w:left w:w="120" w:type="dxa"/>
              <w:right w:w="120" w:type="dxa"/>
            </w:tcMar>
            <w:vAlign w:val="center"/>
          </w:tcPr>
          <w:p>
            <w:pPr>
              <w:spacing w:before="0" w:after="0"/>
              <w:jc w:val="center"/>
            </w:pPr>
            <w:r>
              <w:rPr>
                <w:rFonts w:ascii="Times New Roman" w:hAnsi="Times New Roman"/>
                <w:b/>
                <w:color w:val="FFFFFF"/>
                <w:sz w:val="19"/>
              </w:rPr>
              <w:t>Precision</w:t>
            </w:r>
          </w:p>
        </w:tc>
        <w:tc>
          <w:tcPr>
            <w:tcW w:type="dxa" w:w="1440"/>
            <w:shd w:fill="163A5F"/>
            <w:tcMar>
              <w:top w:w="120" w:type="dxa"/>
              <w:bottom w:w="120" w:type="dxa"/>
              <w:left w:w="120" w:type="dxa"/>
              <w:right w:w="120" w:type="dxa"/>
            </w:tcMar>
            <w:vAlign w:val="center"/>
          </w:tcPr>
          <w:p>
            <w:pPr>
              <w:spacing w:before="0" w:after="0"/>
              <w:jc w:val="center"/>
            </w:pPr>
            <w:r>
              <w:rPr>
                <w:rFonts w:ascii="Times New Roman" w:hAnsi="Times New Roman"/>
                <w:b/>
                <w:color w:val="FFFFFF"/>
                <w:sz w:val="19"/>
              </w:rPr>
              <w:t>Recall</w:t>
            </w:r>
          </w:p>
        </w:tc>
        <w:tc>
          <w:tcPr>
            <w:tcW w:type="dxa" w:w="1440"/>
            <w:shd w:fill="163A5F"/>
            <w:tcMar>
              <w:top w:w="120" w:type="dxa"/>
              <w:bottom w:w="120" w:type="dxa"/>
              <w:left w:w="120" w:type="dxa"/>
              <w:right w:w="120" w:type="dxa"/>
            </w:tcMar>
            <w:vAlign w:val="center"/>
          </w:tcPr>
          <w:p>
            <w:pPr>
              <w:spacing w:before="0" w:after="0"/>
              <w:jc w:val="center"/>
            </w:pPr>
            <w:r>
              <w:rPr>
                <w:rFonts w:ascii="Times New Roman" w:hAnsi="Times New Roman"/>
                <w:b/>
                <w:color w:val="FFFFFF"/>
                <w:sz w:val="19"/>
              </w:rPr>
              <w:t>F1-Score</w:t>
            </w:r>
          </w:p>
        </w:tc>
        <w:tc>
          <w:tcPr>
            <w:tcW w:type="dxa" w:w="1440"/>
            <w:shd w:fill="163A5F"/>
            <w:tcMar>
              <w:top w:w="120" w:type="dxa"/>
              <w:bottom w:w="120" w:type="dxa"/>
              <w:left w:w="120" w:type="dxa"/>
              <w:right w:w="120" w:type="dxa"/>
            </w:tcMar>
            <w:vAlign w:val="center"/>
          </w:tcPr>
          <w:p>
            <w:pPr>
              <w:spacing w:before="0" w:after="0"/>
              <w:jc w:val="center"/>
            </w:pPr>
            <w:r>
              <w:rPr>
                <w:rFonts w:ascii="Times New Roman" w:hAnsi="Times New Roman"/>
                <w:b/>
                <w:color w:val="FFFFFF"/>
                <w:sz w:val="19"/>
              </w:rPr>
              <w:t>ROC-AUC</w:t>
            </w:r>
          </w:p>
        </w:tc>
      </w:tr>
      <w:tr>
        <w:tc>
          <w:tcPr>
            <w:tcW w:type="dxa" w:w="3168"/>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Logistic Regression (Baseline)</w:t>
            </w:r>
          </w:p>
        </w:tc>
        <w:tc>
          <w:tcPr>
            <w:tcW w:type="dxa" w:w="1440"/>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78.4%</w:t>
            </w:r>
          </w:p>
        </w:tc>
        <w:tc>
          <w:tcPr>
            <w:tcW w:type="dxa" w:w="1440"/>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0.762</w:t>
            </w:r>
          </w:p>
        </w:tc>
        <w:tc>
          <w:tcPr>
            <w:tcW w:type="dxa" w:w="1440"/>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0.741</w:t>
            </w:r>
          </w:p>
        </w:tc>
        <w:tc>
          <w:tcPr>
            <w:tcW w:type="dxa" w:w="1440"/>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0.752</w:t>
            </w:r>
          </w:p>
        </w:tc>
        <w:tc>
          <w:tcPr>
            <w:tcW w:type="dxa" w:w="1440"/>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0.821</w:t>
            </w:r>
          </w:p>
        </w:tc>
      </w:tr>
      <w:tr>
        <w:tc>
          <w:tcPr>
            <w:tcW w:type="dxa" w:w="3168"/>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Random Forest (100 Trees)</w:t>
            </w:r>
          </w:p>
        </w:tc>
        <w:tc>
          <w:tcPr>
            <w:tcW w:type="dxa" w:w="1440"/>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86.2%</w:t>
            </w:r>
          </w:p>
        </w:tc>
        <w:tc>
          <w:tcPr>
            <w:tcW w:type="dxa" w:w="1440"/>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0.854</w:t>
            </w:r>
          </w:p>
        </w:tc>
        <w:tc>
          <w:tcPr>
            <w:tcW w:type="dxa" w:w="1440"/>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0.844</w:t>
            </w:r>
          </w:p>
        </w:tc>
        <w:tc>
          <w:tcPr>
            <w:tcW w:type="dxa" w:w="1440"/>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0.849</w:t>
            </w:r>
          </w:p>
        </w:tc>
        <w:tc>
          <w:tcPr>
            <w:tcW w:type="dxa" w:w="1440"/>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0.895</w:t>
            </w:r>
          </w:p>
        </w:tc>
      </w:tr>
      <w:tr>
        <w:tc>
          <w:tcPr>
            <w:tcW w:type="dxa" w:w="3168"/>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XGBoost Classifier (Best)</w:t>
            </w:r>
          </w:p>
        </w:tc>
        <w:tc>
          <w:tcPr>
            <w:tcW w:type="dxa" w:w="1440"/>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89.8%</w:t>
            </w:r>
          </w:p>
        </w:tc>
        <w:tc>
          <w:tcPr>
            <w:tcW w:type="dxa" w:w="1440"/>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0.891</w:t>
            </w:r>
          </w:p>
        </w:tc>
        <w:tc>
          <w:tcPr>
            <w:tcW w:type="dxa" w:w="1440"/>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0.883</w:t>
            </w:r>
          </w:p>
        </w:tc>
        <w:tc>
          <w:tcPr>
            <w:tcW w:type="dxa" w:w="1440"/>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0.887</w:t>
            </w:r>
          </w:p>
        </w:tc>
        <w:tc>
          <w:tcPr>
            <w:tcW w:type="dxa" w:w="1440"/>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0.932</w:t>
            </w:r>
          </w:p>
        </w:tc>
      </w:tr>
    </w:tbl>
    <w:p>
      <w:pPr>
        <w:spacing w:before="0" w:after="120"/>
      </w:pPr>
    </w:p>
    <w:p>
      <w:pPr>
        <w:spacing w:before="0" w:after="120" w:line="276" w:lineRule="auto"/>
        <w:jc w:val="both"/>
      </w:pPr>
      <w:r>
        <w:rPr>
          <w:rFonts w:ascii="Times New Roman" w:hAnsi="Times New Roman"/>
          <w:color w:val="0F172A"/>
          <w:sz w:val="22"/>
        </w:rPr>
        <w:t>Feature importance analysis in XGBoost revealed that Length of Stay (24.2%), Prior Admissions (21.5%), and Abnormal Lab Count (18.1%) are the top clinical predictors of 30-day readmission, as shown in Table 4.4.</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CBD5E1"/>
          <w:insideV w:val="none"/>
          <w:left w:val="none"/>
          <w:right w:val="none"/>
        </w:tblBorders>
      </w:tblPr>
      <w:tblGrid>
        <w:gridCol w:w="2340"/>
        <w:gridCol w:w="2340"/>
        <w:gridCol w:w="2340"/>
        <w:gridCol w:w="2340"/>
      </w:tblGrid>
      <w:tr>
        <w:tc>
          <w:tcPr>
            <w:tcW w:type="dxa" w:w="864"/>
            <w:shd w:fill="163A5F"/>
            <w:tcMar>
              <w:top w:w="120" w:type="dxa"/>
              <w:bottom w:w="120" w:type="dxa"/>
              <w:left w:w="120" w:type="dxa"/>
              <w:right w:w="120" w:type="dxa"/>
            </w:tcMar>
            <w:vAlign w:val="center"/>
          </w:tcPr>
          <w:p>
            <w:pPr>
              <w:spacing w:before="0" w:after="0"/>
              <w:jc w:val="center"/>
            </w:pPr>
            <w:r>
              <w:rPr>
                <w:rFonts w:ascii="Times New Roman" w:hAnsi="Times New Roman"/>
                <w:b/>
                <w:color w:val="FFFFFF"/>
                <w:sz w:val="19"/>
              </w:rPr>
              <w:t>Rank</w:t>
            </w:r>
          </w:p>
        </w:tc>
        <w:tc>
          <w:tcPr>
            <w:tcW w:type="dxa" w:w="3168"/>
            <w:shd w:fill="163A5F"/>
            <w:tcMar>
              <w:top w:w="120" w:type="dxa"/>
              <w:bottom w:w="120" w:type="dxa"/>
              <w:left w:w="120" w:type="dxa"/>
              <w:right w:w="120" w:type="dxa"/>
            </w:tcMar>
            <w:vAlign w:val="center"/>
          </w:tcPr>
          <w:p>
            <w:pPr>
              <w:spacing w:before="0" w:after="0"/>
              <w:jc w:val="center"/>
            </w:pPr>
            <w:r>
              <w:rPr>
                <w:rFonts w:ascii="Times New Roman" w:hAnsi="Times New Roman"/>
                <w:b/>
                <w:color w:val="FFFFFF"/>
                <w:sz w:val="19"/>
              </w:rPr>
              <w:t>Clinical Feature Name</w:t>
            </w:r>
          </w:p>
        </w:tc>
        <w:tc>
          <w:tcPr>
            <w:tcW w:type="dxa" w:w="2160"/>
            <w:shd w:fill="163A5F"/>
            <w:tcMar>
              <w:top w:w="120" w:type="dxa"/>
              <w:bottom w:w="120" w:type="dxa"/>
              <w:left w:w="120" w:type="dxa"/>
              <w:right w:w="120" w:type="dxa"/>
            </w:tcMar>
            <w:vAlign w:val="center"/>
          </w:tcPr>
          <w:p>
            <w:pPr>
              <w:spacing w:before="0" w:after="0"/>
              <w:jc w:val="center"/>
            </w:pPr>
            <w:r>
              <w:rPr>
                <w:rFonts w:ascii="Times New Roman" w:hAnsi="Times New Roman"/>
                <w:b/>
                <w:color w:val="FFFFFF"/>
                <w:sz w:val="19"/>
              </w:rPr>
              <w:t>Feature Weight (Importance %)</w:t>
            </w:r>
          </w:p>
        </w:tc>
        <w:tc>
          <w:tcPr>
            <w:tcW w:type="dxa" w:w="3600"/>
            <w:shd w:fill="163A5F"/>
            <w:tcMar>
              <w:top w:w="120" w:type="dxa"/>
              <w:bottom w:w="120" w:type="dxa"/>
              <w:left w:w="120" w:type="dxa"/>
              <w:right w:w="120" w:type="dxa"/>
            </w:tcMar>
            <w:vAlign w:val="center"/>
          </w:tcPr>
          <w:p>
            <w:pPr>
              <w:spacing w:before="0" w:after="0"/>
              <w:jc w:val="center"/>
            </w:pPr>
            <w:r>
              <w:rPr>
                <w:rFonts w:ascii="Times New Roman" w:hAnsi="Times New Roman"/>
                <w:b/>
                <w:color w:val="FFFFFF"/>
                <w:sz w:val="19"/>
              </w:rPr>
              <w:t>Clinical Significance</w:t>
            </w:r>
          </w:p>
        </w:tc>
      </w:tr>
      <w:tr>
        <w:tc>
          <w:tcPr>
            <w:tcW w:type="dxa" w:w="864"/>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1</w:t>
            </w:r>
          </w:p>
        </w:tc>
        <w:tc>
          <w:tcPr>
            <w:tcW w:type="dxa" w:w="3168"/>
            <w:shd w:fill="FFFFFF"/>
            <w:tcMar>
              <w:top w:w="90" w:type="dxa"/>
              <w:bottom w:w="90" w:type="dxa"/>
              <w:left w:w="120" w:type="dxa"/>
              <w:right w:w="120" w:type="dxa"/>
            </w:tcMar>
            <w:vAlign w:val="center"/>
          </w:tcPr>
          <w:p>
            <w:pPr>
              <w:spacing w:before="0" w:after="0"/>
              <w:jc w:val="left"/>
            </w:pPr>
            <w:r>
              <w:rPr>
                <w:rFonts w:ascii="Times New Roman" w:hAnsi="Times New Roman"/>
                <w:color w:val="0F172A"/>
                <w:sz w:val="18"/>
              </w:rPr>
              <w:t>Current Length of Stay (LOS)</w:t>
            </w:r>
          </w:p>
        </w:tc>
        <w:tc>
          <w:tcPr>
            <w:tcW w:type="dxa" w:w="2160"/>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24.2%</w:t>
            </w:r>
          </w:p>
        </w:tc>
        <w:tc>
          <w:tcPr>
            <w:tcW w:type="dxa" w:w="3600"/>
            <w:shd w:fill="FFFFFF"/>
            <w:tcMar>
              <w:top w:w="90" w:type="dxa"/>
              <w:bottom w:w="90" w:type="dxa"/>
              <w:left w:w="120" w:type="dxa"/>
              <w:right w:w="120" w:type="dxa"/>
            </w:tcMar>
            <w:vAlign w:val="center"/>
          </w:tcPr>
          <w:p>
            <w:pPr>
              <w:spacing w:before="0" w:after="0"/>
              <w:jc w:val="left"/>
            </w:pPr>
            <w:r>
              <w:rPr>
                <w:rFonts w:ascii="Times New Roman" w:hAnsi="Times New Roman"/>
                <w:color w:val="0F172A"/>
                <w:sz w:val="18"/>
              </w:rPr>
              <w:t>Indicator of inpatient disease severity &amp; complexity</w:t>
            </w:r>
          </w:p>
        </w:tc>
      </w:tr>
      <w:tr>
        <w:tc>
          <w:tcPr>
            <w:tcW w:type="dxa" w:w="864"/>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2</w:t>
            </w:r>
          </w:p>
        </w:tc>
        <w:tc>
          <w:tcPr>
            <w:tcW w:type="dxa" w:w="3168"/>
            <w:shd w:fill="F8FAFC"/>
            <w:tcMar>
              <w:top w:w="90" w:type="dxa"/>
              <w:bottom w:w="90" w:type="dxa"/>
              <w:left w:w="120" w:type="dxa"/>
              <w:right w:w="120" w:type="dxa"/>
            </w:tcMar>
            <w:vAlign w:val="center"/>
          </w:tcPr>
          <w:p>
            <w:pPr>
              <w:spacing w:before="0" w:after="0"/>
              <w:jc w:val="left"/>
            </w:pPr>
            <w:r>
              <w:rPr>
                <w:rFonts w:ascii="Times New Roman" w:hAnsi="Times New Roman"/>
                <w:color w:val="0F172A"/>
                <w:sz w:val="18"/>
              </w:rPr>
              <w:t>Prior Hospital Admissions</w:t>
            </w:r>
          </w:p>
        </w:tc>
        <w:tc>
          <w:tcPr>
            <w:tcW w:type="dxa" w:w="2160"/>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21.5%</w:t>
            </w:r>
          </w:p>
        </w:tc>
        <w:tc>
          <w:tcPr>
            <w:tcW w:type="dxa" w:w="3600"/>
            <w:shd w:fill="F8FAFC"/>
            <w:tcMar>
              <w:top w:w="90" w:type="dxa"/>
              <w:bottom w:w="90" w:type="dxa"/>
              <w:left w:w="120" w:type="dxa"/>
              <w:right w:w="120" w:type="dxa"/>
            </w:tcMar>
            <w:vAlign w:val="center"/>
          </w:tcPr>
          <w:p>
            <w:pPr>
              <w:spacing w:before="0" w:after="0"/>
              <w:jc w:val="left"/>
            </w:pPr>
            <w:r>
              <w:rPr>
                <w:rFonts w:ascii="Times New Roman" w:hAnsi="Times New Roman"/>
                <w:color w:val="0F172A"/>
                <w:sz w:val="18"/>
              </w:rPr>
              <w:t>History of chronic disease exacerbation</w:t>
            </w:r>
          </w:p>
        </w:tc>
      </w:tr>
      <w:tr>
        <w:tc>
          <w:tcPr>
            <w:tcW w:type="dxa" w:w="864"/>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3</w:t>
            </w:r>
          </w:p>
        </w:tc>
        <w:tc>
          <w:tcPr>
            <w:tcW w:type="dxa" w:w="3168"/>
            <w:shd w:fill="FFFFFF"/>
            <w:tcMar>
              <w:top w:w="90" w:type="dxa"/>
              <w:bottom w:w="90" w:type="dxa"/>
              <w:left w:w="120" w:type="dxa"/>
              <w:right w:w="120" w:type="dxa"/>
            </w:tcMar>
            <w:vAlign w:val="center"/>
          </w:tcPr>
          <w:p>
            <w:pPr>
              <w:spacing w:before="0" w:after="0"/>
              <w:jc w:val="left"/>
            </w:pPr>
            <w:r>
              <w:rPr>
                <w:rFonts w:ascii="Times New Roman" w:hAnsi="Times New Roman"/>
                <w:color w:val="0F172A"/>
                <w:sz w:val="18"/>
              </w:rPr>
              <w:t>Abnormal Lab Results Count</w:t>
            </w:r>
          </w:p>
        </w:tc>
        <w:tc>
          <w:tcPr>
            <w:tcW w:type="dxa" w:w="2160"/>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18.1%</w:t>
            </w:r>
          </w:p>
        </w:tc>
        <w:tc>
          <w:tcPr>
            <w:tcW w:type="dxa" w:w="3600"/>
            <w:shd w:fill="FFFFFF"/>
            <w:tcMar>
              <w:top w:w="90" w:type="dxa"/>
              <w:bottom w:w="90" w:type="dxa"/>
              <w:left w:w="120" w:type="dxa"/>
              <w:right w:w="120" w:type="dxa"/>
            </w:tcMar>
            <w:vAlign w:val="center"/>
          </w:tcPr>
          <w:p>
            <w:pPr>
              <w:spacing w:before="0" w:after="0"/>
              <w:jc w:val="left"/>
            </w:pPr>
            <w:r>
              <w:rPr>
                <w:rFonts w:ascii="Times New Roman" w:hAnsi="Times New Roman"/>
                <w:color w:val="0F172A"/>
                <w:sz w:val="18"/>
              </w:rPr>
              <w:t>Active biochemical/organ system dysfunction</w:t>
            </w:r>
          </w:p>
        </w:tc>
      </w:tr>
      <w:tr>
        <w:tc>
          <w:tcPr>
            <w:tcW w:type="dxa" w:w="864"/>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4</w:t>
            </w:r>
          </w:p>
        </w:tc>
        <w:tc>
          <w:tcPr>
            <w:tcW w:type="dxa" w:w="3168"/>
            <w:shd w:fill="F8FAFC"/>
            <w:tcMar>
              <w:top w:w="90" w:type="dxa"/>
              <w:bottom w:w="90" w:type="dxa"/>
              <w:left w:w="120" w:type="dxa"/>
              <w:right w:w="120" w:type="dxa"/>
            </w:tcMar>
            <w:vAlign w:val="center"/>
          </w:tcPr>
          <w:p>
            <w:pPr>
              <w:spacing w:before="0" w:after="0"/>
              <w:jc w:val="left"/>
            </w:pPr>
            <w:r>
              <w:rPr>
                <w:rFonts w:ascii="Times New Roman" w:hAnsi="Times New Roman"/>
                <w:color w:val="0F172A"/>
                <w:sz w:val="18"/>
              </w:rPr>
              <w:t>Active Diagnoses Count</w:t>
            </w:r>
          </w:p>
        </w:tc>
        <w:tc>
          <w:tcPr>
            <w:tcW w:type="dxa" w:w="2160"/>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12.4%</w:t>
            </w:r>
          </w:p>
        </w:tc>
        <w:tc>
          <w:tcPr>
            <w:tcW w:type="dxa" w:w="3600"/>
            <w:shd w:fill="F8FAFC"/>
            <w:tcMar>
              <w:top w:w="90" w:type="dxa"/>
              <w:bottom w:w="90" w:type="dxa"/>
              <w:left w:w="120" w:type="dxa"/>
              <w:right w:w="120" w:type="dxa"/>
            </w:tcMar>
            <w:vAlign w:val="center"/>
          </w:tcPr>
          <w:p>
            <w:pPr>
              <w:spacing w:before="0" w:after="0"/>
              <w:jc w:val="left"/>
            </w:pPr>
            <w:r>
              <w:rPr>
                <w:rFonts w:ascii="Times New Roman" w:hAnsi="Times New Roman"/>
                <w:color w:val="0F172A"/>
                <w:sz w:val="18"/>
              </w:rPr>
              <w:t>Multimorbidity index &amp; polypharmacy risk</w:t>
            </w:r>
          </w:p>
        </w:tc>
      </w:tr>
      <w:tr>
        <w:tc>
          <w:tcPr>
            <w:tcW w:type="dxa" w:w="864"/>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5</w:t>
            </w:r>
          </w:p>
        </w:tc>
        <w:tc>
          <w:tcPr>
            <w:tcW w:type="dxa" w:w="3168"/>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Oxygen Saturation (SpO2)</w:t>
            </w:r>
          </w:p>
        </w:tc>
        <w:tc>
          <w:tcPr>
            <w:tcW w:type="dxa" w:w="2160"/>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9.8%</w:t>
            </w:r>
          </w:p>
        </w:tc>
        <w:tc>
          <w:tcPr>
            <w:tcW w:type="dxa" w:w="3600"/>
            <w:shd w:fill="FFFFFF"/>
            <w:tcMar>
              <w:top w:w="90" w:type="dxa"/>
              <w:bottom w:w="90" w:type="dxa"/>
              <w:left w:w="120" w:type="dxa"/>
              <w:right w:w="120" w:type="dxa"/>
            </w:tcMar>
            <w:vAlign w:val="center"/>
          </w:tcPr>
          <w:p>
            <w:pPr>
              <w:spacing w:before="0" w:after="0"/>
              <w:jc w:val="left"/>
            </w:pPr>
            <w:r>
              <w:rPr>
                <w:rFonts w:ascii="Times New Roman" w:hAnsi="Times New Roman"/>
                <w:color w:val="0F172A"/>
                <w:sz w:val="18"/>
              </w:rPr>
              <w:t>Immediate respiratory status &amp; hypoxia risk</w:t>
            </w:r>
          </w:p>
        </w:tc>
      </w:tr>
      <w:tr>
        <w:tc>
          <w:tcPr>
            <w:tcW w:type="dxa" w:w="864"/>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6</w:t>
            </w:r>
          </w:p>
        </w:tc>
        <w:tc>
          <w:tcPr>
            <w:tcW w:type="dxa" w:w="3168"/>
            <w:shd w:fill="F8FAFC"/>
            <w:tcMar>
              <w:top w:w="90" w:type="dxa"/>
              <w:bottom w:w="90" w:type="dxa"/>
              <w:left w:w="120" w:type="dxa"/>
              <w:right w:w="120" w:type="dxa"/>
            </w:tcMar>
            <w:vAlign w:val="center"/>
          </w:tcPr>
          <w:p>
            <w:pPr>
              <w:spacing w:before="0" w:after="0"/>
              <w:jc w:val="left"/>
            </w:pPr>
            <w:r>
              <w:rPr>
                <w:rFonts w:ascii="Times New Roman" w:hAnsi="Times New Roman"/>
                <w:color w:val="0F172A"/>
                <w:sz w:val="18"/>
              </w:rPr>
              <w:t>Patient Age</w:t>
            </w:r>
          </w:p>
        </w:tc>
        <w:tc>
          <w:tcPr>
            <w:tcW w:type="dxa" w:w="2160"/>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7.3%</w:t>
            </w:r>
          </w:p>
        </w:tc>
        <w:tc>
          <w:tcPr>
            <w:tcW w:type="dxa" w:w="3600"/>
            <w:shd w:fill="F8FAFC"/>
            <w:tcMar>
              <w:top w:w="90" w:type="dxa"/>
              <w:bottom w:w="90" w:type="dxa"/>
              <w:left w:w="120" w:type="dxa"/>
              <w:right w:w="120" w:type="dxa"/>
            </w:tcMar>
            <w:vAlign w:val="center"/>
          </w:tcPr>
          <w:p>
            <w:pPr>
              <w:spacing w:before="0" w:after="0"/>
              <w:jc w:val="left"/>
            </w:pPr>
            <w:r>
              <w:rPr>
                <w:rFonts w:ascii="Times New Roman" w:hAnsi="Times New Roman"/>
                <w:color w:val="0F172A"/>
                <w:sz w:val="18"/>
              </w:rPr>
              <w:t>Baseline geriatric vulnerability factor</w:t>
            </w:r>
          </w:p>
        </w:tc>
      </w:tr>
      <w:tr>
        <w:tc>
          <w:tcPr>
            <w:tcW w:type="dxa" w:w="864"/>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7</w:t>
            </w:r>
          </w:p>
        </w:tc>
        <w:tc>
          <w:tcPr>
            <w:tcW w:type="dxa" w:w="3168"/>
            <w:shd w:fill="FFFFFF"/>
            <w:tcMar>
              <w:top w:w="90" w:type="dxa"/>
              <w:bottom w:w="90" w:type="dxa"/>
              <w:left w:w="120" w:type="dxa"/>
              <w:right w:w="120" w:type="dxa"/>
            </w:tcMar>
            <w:vAlign w:val="center"/>
          </w:tcPr>
          <w:p>
            <w:pPr>
              <w:spacing w:before="0" w:after="0"/>
              <w:jc w:val="left"/>
            </w:pPr>
            <w:r>
              <w:rPr>
                <w:rFonts w:ascii="Times New Roman" w:hAnsi="Times New Roman"/>
                <w:color w:val="0F172A"/>
                <w:sz w:val="18"/>
              </w:rPr>
              <w:t>Latest Heart Rate &amp; BP</w:t>
            </w:r>
          </w:p>
        </w:tc>
        <w:tc>
          <w:tcPr>
            <w:tcW w:type="dxa" w:w="2160"/>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6.7%</w:t>
            </w:r>
          </w:p>
        </w:tc>
        <w:tc>
          <w:tcPr>
            <w:tcW w:type="dxa" w:w="3600"/>
            <w:shd w:fill="FFFFFF"/>
            <w:tcMar>
              <w:top w:w="90" w:type="dxa"/>
              <w:bottom w:w="90" w:type="dxa"/>
              <w:left w:w="120" w:type="dxa"/>
              <w:right w:w="120" w:type="dxa"/>
            </w:tcMar>
            <w:vAlign w:val="center"/>
          </w:tcPr>
          <w:p>
            <w:pPr>
              <w:spacing w:before="0" w:after="0"/>
              <w:jc w:val="left"/>
            </w:pPr>
            <w:r>
              <w:rPr>
                <w:rFonts w:ascii="Times New Roman" w:hAnsi="Times New Roman"/>
                <w:color w:val="0F172A"/>
                <w:sz w:val="18"/>
              </w:rPr>
              <w:t>Hemodynamic instability markers</w:t>
            </w:r>
          </w:p>
        </w:tc>
      </w:tr>
    </w:tbl>
    <w:p>
      <w:pPr>
        <w:spacing w:before="0" w:after="120"/>
      </w:pPr>
    </w:p>
    <w:p>
      <w:pPr>
        <w:keepNext/>
        <w:spacing w:before="240" w:after="80"/>
      </w:pPr>
      <w:r>
        <w:rPr>
          <w:rFonts w:ascii="Times New Roman" w:hAnsi="Times New Roman"/>
          <w:b/>
          <w:color w:val="0E7490"/>
          <w:sz w:val="25"/>
        </w:rPr>
        <w:t>4.2 Challenges Encountered and Technical Solutions</w:t>
      </w:r>
    </w:p>
    <w:p>
      <w:pPr>
        <w:spacing w:before="0" w:after="120" w:line="276" w:lineRule="auto"/>
        <w:jc w:val="both"/>
      </w:pPr>
      <w:r>
        <w:rPr>
          <w:rFonts w:ascii="Times New Roman" w:hAnsi="Times New Roman"/>
          <w:color w:val="0F172A"/>
          <w:sz w:val="22"/>
        </w:rPr>
        <w:t>During the design and implementation phases, several key engineering challenges were resolved:</w:t>
      </w:r>
    </w:p>
    <w:p>
      <w:pPr>
        <w:pStyle w:val="ListBullet"/>
        <w:spacing w:before="20" w:after="60" w:line="276" w:lineRule="auto"/>
        <w:jc w:val="both"/>
      </w:pPr>
      <w:r>
        <w:rPr>
          <w:rFonts w:ascii="Times New Roman" w:hAnsi="Times New Roman"/>
          <w:b/>
          <w:color w:val="0F172A"/>
          <w:sz w:val="22"/>
        </w:rPr>
        <w:t xml:space="preserve">1. Dynamic AST Validation: </w:t>
      </w:r>
      <w:r>
        <w:rPr>
          <w:rFonts w:ascii="Times New Roman" w:hAnsi="Times New Roman"/>
          <w:color w:val="0F172A"/>
          <w:sz w:val="22"/>
        </w:rPr>
        <w:t>Challenge: Natural language SQL queries exhibited arbitrary syntax variations and complex subqueries. Solution: Implemented SQLGlot recursive AST expression parsing with strict whitelist rules.</w:t>
      </w:r>
    </w:p>
    <w:p>
      <w:pPr>
        <w:pStyle w:val="ListBullet"/>
        <w:spacing w:before="20" w:after="60" w:line="276" w:lineRule="auto"/>
        <w:jc w:val="both"/>
      </w:pPr>
      <w:r>
        <w:rPr>
          <w:rFonts w:ascii="Times New Roman" w:hAnsi="Times New Roman"/>
          <w:b/>
          <w:color w:val="0F172A"/>
          <w:sz w:val="22"/>
        </w:rPr>
        <w:t xml:space="preserve">2. DDL Lock Contention: </w:t>
      </w:r>
      <w:r>
        <w:rPr>
          <w:rFonts w:ascii="Times New Roman" w:hAnsi="Times New Roman"/>
          <w:color w:val="0F172A"/>
          <w:sz w:val="22"/>
        </w:rPr>
        <w:t>Challenge: Concurrently executing DDL statements in production could cause table locks. Solution: Benchmarks are executed in isolated transactional sessions with automated rollback protections.</w:t>
      </w:r>
    </w:p>
    <w:p>
      <w:pPr>
        <w:pStyle w:val="ListBullet"/>
        <w:spacing w:before="20" w:after="60" w:line="276" w:lineRule="auto"/>
        <w:jc w:val="both"/>
      </w:pPr>
      <w:r>
        <w:rPr>
          <w:rFonts w:ascii="Times New Roman" w:hAnsi="Times New Roman"/>
          <w:b/>
          <w:color w:val="0F172A"/>
          <w:sz w:val="22"/>
        </w:rPr>
        <w:t xml:space="preserve">3. Telemetry Resiliency: </w:t>
      </w:r>
      <w:r>
        <w:rPr>
          <w:rFonts w:ascii="Times New Roman" w:hAnsi="Times New Roman"/>
          <w:color w:val="0F172A"/>
          <w:sz w:val="22"/>
        </w:rPr>
        <w:t>Challenge: WebSocket disconnects during clinical vital surges. Solution: Developed exponential backoff reconnection logic in the React client and heartbeats on the FastAPI backend.</w:t>
      </w:r>
    </w:p>
    <w:p>
      <w:pPr>
        <w:keepNext/>
        <w:spacing w:before="240" w:after="80"/>
      </w:pPr>
      <w:r>
        <w:rPr>
          <w:rFonts w:ascii="Times New Roman" w:hAnsi="Times New Roman"/>
          <w:b/>
          <w:color w:val="0E7490"/>
          <w:sz w:val="25"/>
        </w:rPr>
        <w:t>4.3 Possible System Improvements</w:t>
      </w:r>
    </w:p>
    <w:p>
      <w:pPr>
        <w:pStyle w:val="ListBullet"/>
        <w:spacing w:before="20" w:after="60" w:line="276" w:lineRule="auto"/>
        <w:jc w:val="both"/>
      </w:pPr>
      <w:r>
        <w:rPr>
          <w:rFonts w:ascii="Times New Roman" w:hAnsi="Times New Roman"/>
          <w:b/>
          <w:color w:val="0F172A"/>
          <w:sz w:val="22"/>
        </w:rPr>
        <w:t xml:space="preserve">• Distributed Time-Series Partitioning: </w:t>
      </w:r>
      <w:r>
        <w:rPr>
          <w:rFonts w:ascii="Times New Roman" w:hAnsi="Times New Roman"/>
          <w:color w:val="0F172A"/>
          <w:sz w:val="22"/>
        </w:rPr>
        <w:t>Integration with TimescaleDB hypertables for continuous multi-year ICU waveform partitioning.</w:t>
      </w:r>
    </w:p>
    <w:p>
      <w:pPr>
        <w:pStyle w:val="ListBullet"/>
        <w:spacing w:before="20" w:after="60" w:line="276" w:lineRule="auto"/>
        <w:jc w:val="both"/>
      </w:pPr>
      <w:r>
        <w:rPr>
          <w:rFonts w:ascii="Times New Roman" w:hAnsi="Times New Roman"/>
          <w:b/>
          <w:color w:val="0F172A"/>
          <w:sz w:val="22"/>
        </w:rPr>
        <w:t xml:space="preserve">• Materialized View Caching: </w:t>
      </w:r>
      <w:r>
        <w:rPr>
          <w:rFonts w:ascii="Times New Roman" w:hAnsi="Times New Roman"/>
          <w:color w:val="0F172A"/>
          <w:sz w:val="22"/>
        </w:rPr>
        <w:t>Automated materialized view creation with incremental refresh for heavy operational reports.</w:t>
      </w:r>
    </w:p>
    <w:p>
      <w:pPr>
        <w:pStyle w:val="ListBullet"/>
        <w:spacing w:before="20" w:after="60" w:line="276" w:lineRule="auto"/>
        <w:jc w:val="both"/>
      </w:pPr>
      <w:r>
        <w:rPr>
          <w:rFonts w:ascii="Times New Roman" w:hAnsi="Times New Roman"/>
          <w:b/>
          <w:color w:val="0F172A"/>
          <w:sz w:val="22"/>
        </w:rPr>
        <w:t xml:space="preserve">• Learned Query Optimizers: </w:t>
      </w:r>
      <w:r>
        <w:rPr>
          <w:rFonts w:ascii="Times New Roman" w:hAnsi="Times New Roman"/>
          <w:color w:val="0F172A"/>
          <w:sz w:val="22"/>
        </w:rPr>
        <w:t>Deep Reinforcement Learning (DRL) query optimizers that learn database join ordering dynamically.</w:t>
      </w:r>
    </w:p>
    <w:p>
      <w:pPr>
        <w:keepNext/>
        <w:spacing w:before="240" w:after="80"/>
      </w:pPr>
      <w:r>
        <w:rPr>
          <w:rFonts w:ascii="Times New Roman" w:hAnsi="Times New Roman"/>
          <w:b/>
          <w:color w:val="0E7490"/>
          <w:sz w:val="25"/>
        </w:rPr>
        <w:t>4.4 Strategic Recommendations for Clinical Deployment</w:t>
      </w:r>
    </w:p>
    <w:p>
      <w:pPr>
        <w:pStyle w:val="ListBullet"/>
        <w:spacing w:before="20" w:after="60" w:line="276" w:lineRule="auto"/>
        <w:jc w:val="both"/>
      </w:pPr>
      <w:r>
        <w:rPr>
          <w:rFonts w:ascii="Times New Roman" w:hAnsi="Times New Roman"/>
          <w:b/>
          <w:color w:val="0F172A"/>
          <w:sz w:val="22"/>
        </w:rPr>
        <w:t xml:space="preserve">1. Staging Verification: </w:t>
      </w:r>
      <w:r>
        <w:rPr>
          <w:rFonts w:ascii="Times New Roman" w:hAnsi="Times New Roman"/>
          <w:color w:val="0F172A"/>
          <w:sz w:val="22"/>
        </w:rPr>
        <w:t>Deploy the Adaptive Optimizer in staging DBA environments with a mandatory human-in-the-loop review before committing DDL to production healthcare clusters.</w:t>
      </w:r>
    </w:p>
    <w:p>
      <w:pPr>
        <w:pStyle w:val="ListBullet"/>
        <w:spacing w:before="20" w:after="60" w:line="276" w:lineRule="auto"/>
        <w:jc w:val="both"/>
      </w:pPr>
      <w:r>
        <w:rPr>
          <w:rFonts w:ascii="Times New Roman" w:hAnsi="Times New Roman"/>
          <w:b/>
          <w:color w:val="0F172A"/>
          <w:sz w:val="22"/>
        </w:rPr>
        <w:t xml:space="preserve">2. Bedside Integration: </w:t>
      </w:r>
      <w:r>
        <w:rPr>
          <w:rFonts w:ascii="Times New Roman" w:hAnsi="Times New Roman"/>
          <w:color w:val="0F172A"/>
          <w:sz w:val="22"/>
        </w:rPr>
        <w:t>Integrate the ML predictive pipeline with EHR bedside tablets to alert attending nurses 48 hours prior to anticipated discharge.</w:t>
      </w:r>
    </w:p>
    <w:p>
      <w:r>
        <w:br w:type="page"/>
      </w:r>
    </w:p>
    <w:p>
      <w:pPr>
        <w:keepNext/>
        <w:spacing w:before="360" w:after="120"/>
      </w:pPr>
      <w:r>
        <w:rPr>
          <w:rFonts w:ascii="Times New Roman" w:hAnsi="Times New Roman"/>
          <w:b/>
          <w:color w:val="163A5F"/>
          <w:sz w:val="28"/>
        </w:rPr>
        <w:t>CHAPTER 5: REFLECTION ON LEARNING AND PERSONAL DEVELOPMENT</w:t>
      </w:r>
    </w:p>
    <w:p>
      <w:pPr>
        <w:keepNext/>
        <w:spacing w:before="240" w:after="80"/>
      </w:pPr>
      <w:r>
        <w:rPr>
          <w:rFonts w:ascii="Times New Roman" w:hAnsi="Times New Roman"/>
          <w:b/>
          <w:color w:val="0E7490"/>
          <w:sz w:val="25"/>
        </w:rPr>
        <w:t>5.1 Key Learning Outcomes</w:t>
      </w:r>
    </w:p>
    <w:p>
      <w:pPr>
        <w:spacing w:before="0" w:after="120" w:line="276" w:lineRule="auto"/>
        <w:jc w:val="both"/>
      </w:pPr>
      <w:r>
        <w:rPr>
          <w:rFonts w:ascii="Times New Roman" w:hAnsi="Times New Roman"/>
          <w:color w:val="0F172A"/>
          <w:sz w:val="22"/>
        </w:rPr>
        <w:t>Through the development of PULSE CORE, our team achieved comprehensive theoretical and practical mastery of query processing algorithms and clinical data science. Key learning milestones include:</w:t>
      </w:r>
    </w:p>
    <w:p>
      <w:pPr>
        <w:pStyle w:val="ListBullet"/>
        <w:spacing w:before="20" w:after="60" w:line="276" w:lineRule="auto"/>
        <w:jc w:val="both"/>
      </w:pPr>
      <w:r>
        <w:rPr>
          <w:rFonts w:ascii="Times New Roman" w:hAnsi="Times New Roman"/>
          <w:b/>
          <w:color w:val="0F172A"/>
          <w:sz w:val="22"/>
        </w:rPr>
        <w:t xml:space="preserve">• Relational Algebra &amp; Cost Models: </w:t>
      </w:r>
      <w:r>
        <w:rPr>
          <w:rFonts w:ascii="Times New Roman" w:hAnsi="Times New Roman"/>
          <w:color w:val="0F172A"/>
          <w:sz w:val="22"/>
        </w:rPr>
        <w:t>Gained deep understanding of relational algebra trees, join operator selections (Hash Join, Merge Join, Nested Loop), index scan selectivity, and PostgreSQL cost estimation equations.</w:t>
      </w:r>
    </w:p>
    <w:p>
      <w:pPr>
        <w:pStyle w:val="ListBullet"/>
        <w:spacing w:before="20" w:after="60" w:line="276" w:lineRule="auto"/>
        <w:jc w:val="both"/>
      </w:pPr>
      <w:r>
        <w:rPr>
          <w:rFonts w:ascii="Times New Roman" w:hAnsi="Times New Roman"/>
          <w:b/>
          <w:color w:val="0F172A"/>
          <w:sz w:val="22"/>
        </w:rPr>
        <w:t xml:space="preserve">• AST Parsing &amp; Security: </w:t>
      </w:r>
      <w:r>
        <w:rPr>
          <w:rFonts w:ascii="Times New Roman" w:hAnsi="Times New Roman"/>
          <w:color w:val="0F172A"/>
          <w:sz w:val="22"/>
        </w:rPr>
        <w:t>Mastered compiler-style Abstract Syntax Tree manipulation using SQLGlot to inspect, validate, and rewrite SQL expressions securely.</w:t>
      </w:r>
    </w:p>
    <w:p>
      <w:pPr>
        <w:pStyle w:val="ListBullet"/>
        <w:spacing w:before="20" w:after="60" w:line="276" w:lineRule="auto"/>
        <w:jc w:val="both"/>
      </w:pPr>
      <w:r>
        <w:rPr>
          <w:rFonts w:ascii="Times New Roman" w:hAnsi="Times New Roman"/>
          <w:b/>
          <w:color w:val="0F172A"/>
          <w:sz w:val="22"/>
        </w:rPr>
        <w:t xml:space="preserve">• Predictive Machine Learning: </w:t>
      </w:r>
      <w:r>
        <w:rPr>
          <w:rFonts w:ascii="Times New Roman" w:hAnsi="Times New Roman"/>
          <w:color w:val="0F172A"/>
          <w:sz w:val="22"/>
        </w:rPr>
        <w:t>Acquired expertise in feature engineering, class imbalance mitigation, and gradient-boosted decision trees (XGBoost) for medical risk stratification.</w:t>
      </w:r>
    </w:p>
    <w:p>
      <w:pPr>
        <w:pStyle w:val="ListBullet"/>
        <w:spacing w:before="20" w:after="60" w:line="276" w:lineRule="auto"/>
        <w:jc w:val="both"/>
      </w:pPr>
      <w:r>
        <w:rPr>
          <w:rFonts w:ascii="Times New Roman" w:hAnsi="Times New Roman"/>
          <w:b/>
          <w:color w:val="0F172A"/>
          <w:sz w:val="22"/>
        </w:rPr>
        <w:t xml:space="preserve">• Full-Stack Reactive Architecture: </w:t>
      </w:r>
      <w:r>
        <w:rPr>
          <w:rFonts w:ascii="Times New Roman" w:hAnsi="Times New Roman"/>
          <w:color w:val="0F172A"/>
          <w:sz w:val="22"/>
        </w:rPr>
        <w:t>Developed advanced proficiency in React 18, TypeScript, async Python/FastAPI, and real-time WebSockets.</w:t>
      </w:r>
    </w:p>
    <w:p>
      <w:pPr>
        <w:keepNext/>
        <w:spacing w:before="240" w:after="80"/>
      </w:pPr>
      <w:r>
        <w:rPr>
          <w:rFonts w:ascii="Times New Roman" w:hAnsi="Times New Roman"/>
          <w:b/>
          <w:color w:val="0E7490"/>
          <w:sz w:val="25"/>
        </w:rPr>
        <w:t>5.2 Challenges Encountered and Overcome</w:t>
      </w:r>
    </w:p>
    <w:p>
      <w:pPr>
        <w:spacing w:before="0" w:after="120" w:line="276" w:lineRule="auto"/>
        <w:jc w:val="both"/>
      </w:pPr>
      <w:r>
        <w:rPr>
          <w:rFonts w:ascii="Times New Roman" w:hAnsi="Times New Roman"/>
          <w:color w:val="0F172A"/>
          <w:sz w:val="22"/>
        </w:rPr>
        <w:t>Overcoming complex technical hurdles — such as converting recursive execution plan JSON trees into interactive ReactFlow node graphs, calibrating synthetic data generators to maintain physiological realism, and orchestrating multi-pass benchmark transactions — significantly strengthened our debugging and algorithmic problem-solving capabilities.</w:t>
      </w:r>
    </w:p>
    <w:p>
      <w:pPr>
        <w:keepNext/>
        <w:spacing w:before="240" w:after="80"/>
      </w:pPr>
      <w:r>
        <w:rPr>
          <w:rFonts w:ascii="Times New Roman" w:hAnsi="Times New Roman"/>
          <w:b/>
          <w:color w:val="0E7490"/>
          <w:sz w:val="25"/>
        </w:rPr>
        <w:t>5.3 Application of Engineering Standards &amp; Best Practices</w:t>
      </w:r>
    </w:p>
    <w:p>
      <w:pPr>
        <w:spacing w:before="0" w:after="120" w:line="276" w:lineRule="auto"/>
        <w:jc w:val="both"/>
      </w:pPr>
      <w:r>
        <w:rPr>
          <w:rFonts w:ascii="Times New Roman" w:hAnsi="Times New Roman"/>
          <w:color w:val="0F172A"/>
          <w:sz w:val="22"/>
        </w:rPr>
        <w:t>Our team embraced professional software development methodologies, including strict Git branch management, automated Pytest continuous integration, clean REST API documentation with OpenAPI/Swagger, PEP 8 Python formatting, and HIPAA-aligned security auditing.</w:t>
      </w:r>
    </w:p>
    <w:p>
      <w:pPr>
        <w:keepNext/>
        <w:spacing w:before="240" w:after="80"/>
      </w:pPr>
      <w:r>
        <w:rPr>
          <w:rFonts w:ascii="Times New Roman" w:hAnsi="Times New Roman"/>
          <w:b/>
          <w:color w:val="0E7490"/>
          <w:sz w:val="25"/>
        </w:rPr>
        <w:t>5.4 Insights into the Healthcare Data Analytics Industry</w:t>
      </w:r>
    </w:p>
    <w:p>
      <w:pPr>
        <w:spacing w:before="0" w:after="120" w:line="276" w:lineRule="auto"/>
        <w:jc w:val="both"/>
      </w:pPr>
      <w:r>
        <w:rPr>
          <w:rFonts w:ascii="Times New Roman" w:hAnsi="Times New Roman"/>
          <w:color w:val="0F172A"/>
          <w:sz w:val="22"/>
        </w:rPr>
        <w:t>Working on this project provided invaluable insights into the real-world operational challenges of modern hospital IT. We observed how query latency directly impacts clinical workflows, the necessity of explainable AI in medicine, and the growing demand for automated database self-tuning in mission-critical environments.</w:t>
      </w:r>
    </w:p>
    <w:p>
      <w:pPr>
        <w:keepNext/>
        <w:spacing w:before="240" w:after="80"/>
      </w:pPr>
      <w:r>
        <w:rPr>
          <w:rFonts w:ascii="Times New Roman" w:hAnsi="Times New Roman"/>
          <w:b/>
          <w:color w:val="0E7490"/>
          <w:sz w:val="25"/>
        </w:rPr>
        <w:t>5.5 Conclusion of Personal &amp; Team Development</w:t>
      </w:r>
    </w:p>
    <w:p>
      <w:pPr>
        <w:spacing w:before="0" w:after="120" w:line="276" w:lineRule="auto"/>
        <w:jc w:val="both"/>
      </w:pPr>
      <w:r>
        <w:rPr>
          <w:rFonts w:ascii="Times New Roman" w:hAnsi="Times New Roman"/>
          <w:color w:val="0F172A"/>
          <w:sz w:val="22"/>
        </w:rPr>
        <w:t>This Capstone Project transformed our academic theoretical foundations into robust full-stack engineering skills. Collaborative pair programming, weekly architectural reviews, and modular task distribution enabled our team to deliver an enterprise-grade platform on time and to the highest technical standard.</w:t>
      </w:r>
    </w:p>
    <w:p>
      <w:r>
        <w:br w:type="page"/>
      </w:r>
    </w:p>
    <w:p>
      <w:pPr>
        <w:keepNext/>
        <w:spacing w:before="360" w:after="120"/>
      </w:pPr>
      <w:r>
        <w:rPr>
          <w:rFonts w:ascii="Times New Roman" w:hAnsi="Times New Roman"/>
          <w:b/>
          <w:color w:val="163A5F"/>
          <w:sz w:val="28"/>
        </w:rPr>
        <w:t>CHAPTER 6: CONCLUSION</w:t>
      </w:r>
    </w:p>
    <w:p>
      <w:pPr>
        <w:keepNext/>
        <w:spacing w:before="240" w:after="80"/>
      </w:pPr>
      <w:r>
        <w:rPr>
          <w:rFonts w:ascii="Times New Roman" w:hAnsi="Times New Roman"/>
          <w:b/>
          <w:color w:val="0E7490"/>
          <w:sz w:val="25"/>
        </w:rPr>
        <w:t>6.1 Summary of Technical Achievements</w:t>
      </w:r>
    </w:p>
    <w:p>
      <w:pPr>
        <w:spacing w:before="0" w:after="120" w:line="276" w:lineRule="auto"/>
        <w:jc w:val="both"/>
      </w:pPr>
      <w:r>
        <w:rPr>
          <w:rFonts w:ascii="Times New Roman" w:hAnsi="Times New Roman"/>
          <w:color w:val="0F172A"/>
          <w:sz w:val="22"/>
        </w:rPr>
        <w:t>PULSE CORE successfully bridges the gap between database query optimization theory (DSA0501) and practical healthcare analytics. The platform delivers:</w:t>
      </w:r>
    </w:p>
    <w:p>
      <w:pPr>
        <w:pStyle w:val="ListBullet"/>
        <w:spacing w:before="20" w:after="60" w:line="276" w:lineRule="auto"/>
        <w:jc w:val="both"/>
      </w:pPr>
      <w:r>
        <w:rPr>
          <w:rFonts w:ascii="Times New Roman" w:hAnsi="Times New Roman"/>
          <w:b/>
          <w:color w:val="0F172A"/>
          <w:sz w:val="22"/>
        </w:rPr>
        <w:t xml:space="preserve">1. Robust Security: </w:t>
      </w:r>
      <w:r>
        <w:rPr>
          <w:rFonts w:ascii="Times New Roman" w:hAnsi="Times New Roman"/>
          <w:color w:val="0F172A"/>
          <w:sz w:val="22"/>
        </w:rPr>
        <w:t>A secure, AST-validated query execution environment that eliminates SQL injection and unauthorized DDL operations.</w:t>
      </w:r>
    </w:p>
    <w:p>
      <w:pPr>
        <w:pStyle w:val="ListBullet"/>
        <w:spacing w:before="20" w:after="60" w:line="276" w:lineRule="auto"/>
        <w:jc w:val="both"/>
      </w:pPr>
      <w:r>
        <w:rPr>
          <w:rFonts w:ascii="Times New Roman" w:hAnsi="Times New Roman"/>
          <w:b/>
          <w:color w:val="0F172A"/>
          <w:sz w:val="22"/>
        </w:rPr>
        <w:t xml:space="preserve">2. Proven Optimization: </w:t>
      </w:r>
      <w:r>
        <w:rPr>
          <w:rFonts w:ascii="Times New Roman" w:hAnsi="Times New Roman"/>
          <w:color w:val="0F172A"/>
          <w:sz w:val="22"/>
        </w:rPr>
        <w:t>An intelligent Adaptive Optimizer that achieves 8.4x to 35.6x query speedups and 98.4% buffer I/O reductions with empirical A/B verification.</w:t>
      </w:r>
    </w:p>
    <w:p>
      <w:pPr>
        <w:pStyle w:val="ListBullet"/>
        <w:spacing w:before="20" w:after="60" w:line="276" w:lineRule="auto"/>
        <w:jc w:val="both"/>
      </w:pPr>
      <w:r>
        <w:rPr>
          <w:rFonts w:ascii="Times New Roman" w:hAnsi="Times New Roman"/>
          <w:b/>
          <w:color w:val="0F172A"/>
          <w:sz w:val="22"/>
        </w:rPr>
        <w:t xml:space="preserve">3. Clinical Predictive Power: </w:t>
      </w:r>
      <w:r>
        <w:rPr>
          <w:rFonts w:ascii="Times New Roman" w:hAnsi="Times New Roman"/>
          <w:color w:val="0F172A"/>
          <w:sz w:val="22"/>
        </w:rPr>
        <w:t>A high-precision 3-Model Machine Learning Pipeline delivering 89.8% accuracy and 0.932 ROC-AUC for clinical risk stratification.</w:t>
      </w:r>
    </w:p>
    <w:p>
      <w:pPr>
        <w:pStyle w:val="ListBullet"/>
        <w:spacing w:before="20" w:after="60" w:line="276" w:lineRule="auto"/>
        <w:jc w:val="both"/>
      </w:pPr>
      <w:r>
        <w:rPr>
          <w:rFonts w:ascii="Times New Roman" w:hAnsi="Times New Roman"/>
          <w:b/>
          <w:color w:val="0F172A"/>
          <w:sz w:val="22"/>
        </w:rPr>
        <w:t xml:space="preserve">4. Seamless User Experience: </w:t>
      </w:r>
      <w:r>
        <w:rPr>
          <w:rFonts w:ascii="Times New Roman" w:hAnsi="Times New Roman"/>
          <w:color w:val="0F172A"/>
          <w:sz w:val="22"/>
        </w:rPr>
        <w:t>A responsive, modern full-stack web application featuring ReactFlow execution plan graphs and sub-15ms WebSocket telemetry.</w:t>
      </w:r>
    </w:p>
    <w:p>
      <w:pPr>
        <w:keepNext/>
        <w:spacing w:before="240" w:after="80"/>
      </w:pPr>
      <w:r>
        <w:rPr>
          <w:rFonts w:ascii="Times New Roman" w:hAnsi="Times New Roman"/>
          <w:b/>
          <w:color w:val="0E7490"/>
          <w:sz w:val="25"/>
        </w:rPr>
        <w:t>6.2 Future Outlook &amp; Societal Impact</w:t>
      </w:r>
    </w:p>
    <w:p>
      <w:pPr>
        <w:spacing w:before="0" w:after="120" w:line="276" w:lineRule="auto"/>
        <w:jc w:val="both"/>
      </w:pPr>
      <w:r>
        <w:rPr>
          <w:rFonts w:ascii="Times New Roman" w:hAnsi="Times New Roman"/>
          <w:color w:val="0F172A"/>
          <w:sz w:val="22"/>
        </w:rPr>
        <w:t>By democratizing complex database performance telemetry and empowering clinicians with instantaneous, data-driven predictive insights, PULSE CORE lays the groundwork for next-generation intelligent hospital management systems. Future expansions will explore FHIR REST API gateways, edge computing integrations for mobile vital sensors, and autonomous reinforcement learning query rewriters.</w:t>
      </w:r>
    </w:p>
    <w:p>
      <w:r>
        <w:br w:type="page"/>
      </w:r>
    </w:p>
    <w:p>
      <w:pPr>
        <w:keepNext/>
        <w:spacing w:before="360" w:after="120"/>
      </w:pPr>
      <w:r>
        <w:rPr>
          <w:rFonts w:ascii="Times New Roman" w:hAnsi="Times New Roman"/>
          <w:b/>
          <w:color w:val="163A5F"/>
          <w:sz w:val="28"/>
        </w:rPr>
        <w:t>REFERENCES</w:t>
      </w:r>
    </w:p>
    <w:p>
      <w:pPr>
        <w:spacing w:before="0" w:after="120" w:line="276" w:lineRule="auto"/>
        <w:jc w:val="both"/>
      </w:pPr>
      <w:r>
        <w:rPr>
          <w:rFonts w:ascii="Times New Roman" w:hAnsi="Times New Roman"/>
          <w:color w:val="0F172A"/>
          <w:sz w:val="22"/>
        </w:rPr>
        <w:t>1. Garcia-Molina, H., Ullman, J. D., &amp; Widom, J. (2008). Database Systems: The Complete Book (2nd ed.). Prentice Hall.</w:t>
      </w:r>
    </w:p>
    <w:p>
      <w:pPr>
        <w:spacing w:before="0" w:after="120" w:line="276" w:lineRule="auto"/>
        <w:jc w:val="both"/>
      </w:pPr>
      <w:r>
        <w:rPr>
          <w:rFonts w:ascii="Times New Roman" w:hAnsi="Times New Roman"/>
          <w:color w:val="0F172A"/>
          <w:sz w:val="22"/>
        </w:rPr>
        <w:t>2. PostgreSQL Global Development Group. (2024). PostgreSQL 16 Documentation: Using EXPLAIN and Cost Estimation. https://www.postgresql.org/docs/16/using-explain.html</w:t>
      </w:r>
    </w:p>
    <w:p>
      <w:pPr>
        <w:spacing w:before="0" w:after="120" w:line="276" w:lineRule="auto"/>
        <w:jc w:val="both"/>
      </w:pPr>
      <w:r>
        <w:rPr>
          <w:rFonts w:ascii="Times New Roman" w:hAnsi="Times New Roman"/>
          <w:color w:val="0F172A"/>
          <w:sz w:val="22"/>
        </w:rPr>
        <w:t>3. Chen, T., &amp; Guestrin, C. (2016). XGBoost: A Scalable Tree Boosting System. In Proceedings of the 22nd ACM SIGKDD International Conference on Knowledge Discovery and Data Mining (pp. 785–794). https://doi.org/10.1145/2939672.2939785</w:t>
      </w:r>
    </w:p>
    <w:p>
      <w:pPr>
        <w:spacing w:before="0" w:after="120" w:line="276" w:lineRule="auto"/>
        <w:jc w:val="both"/>
      </w:pPr>
      <w:r>
        <w:rPr>
          <w:rFonts w:ascii="Times New Roman" w:hAnsi="Times New Roman"/>
          <w:color w:val="0F172A"/>
          <w:sz w:val="22"/>
        </w:rPr>
        <w:t>4. Chaudhuri, S. (1998). An Overview of Query Optimization in Relational Systems. In Proceedings of the ACM Symposium on Principles of Database Systems (PODS) (pp. 34–43).</w:t>
      </w:r>
    </w:p>
    <w:p>
      <w:pPr>
        <w:spacing w:before="0" w:after="120" w:line="276" w:lineRule="auto"/>
        <w:jc w:val="both"/>
      </w:pPr>
      <w:r>
        <w:rPr>
          <w:rFonts w:ascii="Times New Roman" w:hAnsi="Times New Roman"/>
          <w:color w:val="0F172A"/>
          <w:sz w:val="22"/>
        </w:rPr>
        <w:t>5. Breiman, L. (2001). Random Forests. Machine Learning, 45(1), 5–32. https://doi.org/10.1023/A:1010933404324</w:t>
      </w:r>
    </w:p>
    <w:p>
      <w:pPr>
        <w:spacing w:before="0" w:after="120" w:line="276" w:lineRule="auto"/>
        <w:jc w:val="both"/>
      </w:pPr>
      <w:r>
        <w:rPr>
          <w:rFonts w:ascii="Times New Roman" w:hAnsi="Times New Roman"/>
          <w:color w:val="0F172A"/>
          <w:sz w:val="22"/>
        </w:rPr>
        <w:t>6. Leis, V., Radke, A., Kemper, A., &amp; Neumann, T. (2015). How Good Are Query Optimizers, Really? Proceedings of the VLDB Endowment, 9(3), 204–215. https://doi.org/10.14778/2850583.2850594</w:t>
      </w:r>
    </w:p>
    <w:p>
      <w:pPr>
        <w:spacing w:before="0" w:after="120" w:line="276" w:lineRule="auto"/>
        <w:jc w:val="both"/>
      </w:pPr>
      <w:r>
        <w:rPr>
          <w:rFonts w:ascii="Times New Roman" w:hAnsi="Times New Roman"/>
          <w:color w:val="0F172A"/>
          <w:sz w:val="22"/>
        </w:rPr>
        <w:t>7. Johnson, A. E. W., Pollard, T. J., Shen, L., et al. (2016). MIMIC-III, a Freely Accessible Critical Care Database. Scientific Data, 3, 160035. https://doi.org/10.1038/sdata.2016.35</w:t>
      </w:r>
    </w:p>
    <w:p>
      <w:pPr>
        <w:spacing w:before="0" w:after="120" w:line="276" w:lineRule="auto"/>
        <w:jc w:val="both"/>
      </w:pPr>
      <w:r>
        <w:rPr>
          <w:rFonts w:ascii="Times New Roman" w:hAnsi="Times New Roman"/>
          <w:color w:val="0F172A"/>
          <w:sz w:val="22"/>
        </w:rPr>
        <w:t>8. Rajkomar, A., Oren, E., Chen, K., et al. (2018). Scalable and Accurate Deep Learning with Electronic Health Records. NPJ Digital Medicine, 1(1), 18. https://doi.org/10.1038/s41746-018-0029-1</w:t>
      </w:r>
    </w:p>
    <w:p>
      <w:pPr>
        <w:spacing w:before="0" w:after="120" w:line="276" w:lineRule="auto"/>
        <w:jc w:val="both"/>
      </w:pPr>
      <w:r>
        <w:rPr>
          <w:rFonts w:ascii="Times New Roman" w:hAnsi="Times New Roman"/>
          <w:color w:val="0F172A"/>
          <w:sz w:val="22"/>
        </w:rPr>
        <w:t>9. Ramakrishnan, R., &amp; Gehrke, J. (2003). Database Management Systems (3rd ed.). McGraw-Hill.</w:t>
      </w:r>
    </w:p>
    <w:p>
      <w:pPr>
        <w:spacing w:before="0" w:after="120" w:line="276" w:lineRule="auto"/>
        <w:jc w:val="both"/>
      </w:pPr>
      <w:r>
        <w:rPr>
          <w:rFonts w:ascii="Times New Roman" w:hAnsi="Times New Roman"/>
          <w:color w:val="0F172A"/>
          <w:sz w:val="22"/>
        </w:rPr>
        <w:t>10. U.S. Department of Health and Human Services. (2003). Health Insurance Portability and Accountability Act (HIPAA) Security Rule (45 CFR Part 160 and Part 164, Subparts A and C).</w:t>
      </w:r>
    </w:p>
    <w:p>
      <w:pPr>
        <w:spacing w:before="0" w:after="120" w:line="276" w:lineRule="auto"/>
        <w:jc w:val="both"/>
      </w:pPr>
      <w:r>
        <w:rPr>
          <w:rFonts w:ascii="Times New Roman" w:hAnsi="Times New Roman"/>
          <w:color w:val="0F172A"/>
          <w:sz w:val="22"/>
        </w:rPr>
        <w:t>11. HL7 International. (2023). HL7 Fast Healthcare Interoperability Resources (FHIR) Release 5. https://hl7.org/fhir/</w:t>
      </w:r>
    </w:p>
    <w:p>
      <w:pPr>
        <w:spacing w:before="0" w:after="120" w:line="276" w:lineRule="auto"/>
        <w:jc w:val="both"/>
      </w:pPr>
      <w:r>
        <w:rPr>
          <w:rFonts w:ascii="Times New Roman" w:hAnsi="Times New Roman"/>
          <w:color w:val="0F172A"/>
          <w:sz w:val="22"/>
        </w:rPr>
        <w:t>12. Marcus, R., Negi, P., Mao, H., et al. (2019). Neo: A Learned Query Optimizer. Proceedings of the VLDB Endowment, 12(11), 1705–1718. https://doi.org/10.14778/3342263.3342644</w:t>
      </w:r>
    </w:p>
    <w:p>
      <w:pPr>
        <w:spacing w:before="0" w:after="120" w:line="276" w:lineRule="auto"/>
        <w:jc w:val="both"/>
      </w:pPr>
      <w:r>
        <w:rPr>
          <w:rFonts w:ascii="Times New Roman" w:hAnsi="Times New Roman"/>
          <w:color w:val="0F172A"/>
          <w:sz w:val="22"/>
        </w:rPr>
        <w:t>13. Pedregosa, F., Varoquaux, G., Gramfort, A., et al. (2011). Scikit-learn: Machine Learning in Python. Journal of Machine Learning Research, 12, 2825–2830.</w:t>
      </w:r>
    </w:p>
    <w:p>
      <w:pPr>
        <w:spacing w:before="0" w:after="120" w:line="276" w:lineRule="auto"/>
        <w:jc w:val="both"/>
      </w:pPr>
      <w:r>
        <w:rPr>
          <w:rFonts w:ascii="Times New Roman" w:hAnsi="Times New Roman"/>
          <w:color w:val="0F172A"/>
          <w:sz w:val="22"/>
        </w:rPr>
        <w:t>14. Tiangolo, S. (2024). FastAPI: Modern, High-Performance Web Framework for Python. https://fastapi.tiangolo.com/</w:t>
      </w:r>
    </w:p>
    <w:p>
      <w:pPr>
        <w:spacing w:before="0" w:after="120" w:line="276" w:lineRule="auto"/>
        <w:jc w:val="both"/>
      </w:pPr>
      <w:r>
        <w:rPr>
          <w:rFonts w:ascii="Times New Roman" w:hAnsi="Times New Roman"/>
          <w:color w:val="0F172A"/>
          <w:sz w:val="22"/>
        </w:rPr>
        <w:t>15. SQLGlot Development Team. (2024). SQLGlot: An Extensible SQL Parser, Transpiler, Optimizer, and Engine. https://github.com/tobymao/sqlglot</w:t>
      </w:r>
    </w:p>
    <w:p>
      <w:r>
        <w:br w:type="page"/>
      </w:r>
    </w:p>
    <w:p>
      <w:pPr>
        <w:keepNext/>
        <w:spacing w:before="360" w:after="120"/>
      </w:pPr>
      <w:r>
        <w:rPr>
          <w:rFonts w:ascii="Times New Roman" w:hAnsi="Times New Roman"/>
          <w:b/>
          <w:color w:val="163A5F"/>
          <w:sz w:val="28"/>
        </w:rPr>
        <w:t>APPENDICES</w:t>
      </w:r>
    </w:p>
    <w:p>
      <w:pPr>
        <w:keepNext/>
        <w:spacing w:before="240" w:after="80"/>
      </w:pPr>
      <w:r>
        <w:rPr>
          <w:rFonts w:ascii="Times New Roman" w:hAnsi="Times New Roman"/>
          <w:b/>
          <w:color w:val="0E7490"/>
          <w:sz w:val="25"/>
        </w:rPr>
        <w:t>APPENDIX A: System Architecture &amp; Relational Entity-Relationship Diagram</w:t>
      </w:r>
    </w:p>
    <w:p>
      <w:pPr>
        <w:spacing w:before="0" w:after="120" w:line="276" w:lineRule="auto"/>
        <w:jc w:val="both"/>
      </w:pPr>
      <w:r>
        <w:rPr>
          <w:rFonts w:ascii="Times New Roman" w:hAnsi="Times New Roman"/>
          <w:color w:val="0F172A"/>
          <w:sz w:val="22"/>
        </w:rPr>
        <w:t>Figure A.1 presents the complete PostgreSQL relational Entity-Relationship Diagram (ERD) detailing the primary keys, foreign key constraints, and clinical relationships across the 21 database tables in PULSE CORE.</w:t>
      </w:r>
    </w:p>
    <w:p>
      <w:pPr>
        <w:spacing w:before="160" w:after="60"/>
        <w:jc w:val="center"/>
      </w:pPr>
      <w:r>
        <w:drawing>
          <wp:inline xmlns:a="http://schemas.openxmlformats.org/drawingml/2006/main" xmlns:pic="http://schemas.openxmlformats.org/drawingml/2006/picture">
            <wp:extent cx="5303520" cy="3014231"/>
            <wp:docPr id="11" name="Picture 11"/>
            <wp:cNvGraphicFramePr>
              <a:graphicFrameLocks noChangeAspect="1"/>
            </wp:cNvGraphicFramePr>
            <a:graphic>
              <a:graphicData uri="http://schemas.openxmlformats.org/drawingml/2006/picture">
                <pic:pic>
                  <pic:nvPicPr>
                    <pic:cNvPr id="0" name="db_schema_erd.png"/>
                    <pic:cNvPicPr/>
                  </pic:nvPicPr>
                  <pic:blipFill>
                    <a:blip r:embed="rId13"/>
                    <a:stretch>
                      <a:fillRect/>
                    </a:stretch>
                  </pic:blipFill>
                  <pic:spPr>
                    <a:xfrm>
                      <a:off x="0" y="0"/>
                      <a:ext cx="5303520" cy="3014231"/>
                    </a:xfrm>
                    <a:prstGeom prst="rect"/>
                  </pic:spPr>
                </pic:pic>
              </a:graphicData>
            </a:graphic>
          </wp:inline>
        </w:drawing>
      </w:r>
    </w:p>
    <w:p>
      <w:pPr>
        <w:spacing w:before="0" w:after="200"/>
        <w:jc w:val="center"/>
      </w:pPr>
      <w:r>
        <w:rPr>
          <w:rFonts w:ascii="Times New Roman" w:hAnsi="Times New Roman"/>
          <w:b/>
          <w:color w:val="163A5F"/>
          <w:sz w:val="20"/>
        </w:rPr>
        <w:t>Figure A.1: Relational Entity-Relationship Diagram (ERD) of PULSE CORE Database</w:t>
      </w:r>
    </w:p>
    <w:p>
      <w:pPr>
        <w:spacing w:before="0" w:after="120" w:line="276" w:lineRule="auto"/>
        <w:jc w:val="both"/>
      </w:pPr>
      <w:r>
        <w:rPr>
          <w:rFonts w:ascii="Times New Roman" w:hAnsi="Times New Roman"/>
          <w:color w:val="0F172A"/>
          <w:sz w:val="22"/>
        </w:rPr>
        <w:t>Figure A.2 illustrates the detailed Query Processing, Plan Decomposition, and A/B Benchmarking flowchart executed by the Adaptive Optimizer engine.</w:t>
      </w:r>
    </w:p>
    <w:p>
      <w:pPr>
        <w:spacing w:before="160" w:after="60"/>
        <w:jc w:val="center"/>
      </w:pPr>
      <w:r>
        <w:drawing>
          <wp:inline xmlns:a="http://schemas.openxmlformats.org/drawingml/2006/main" xmlns:pic="http://schemas.openxmlformats.org/drawingml/2006/picture">
            <wp:extent cx="5303520" cy="3014231"/>
            <wp:docPr id="12" name="Picture 12"/>
            <wp:cNvGraphicFramePr>
              <a:graphicFrameLocks noChangeAspect="1"/>
            </wp:cNvGraphicFramePr>
            <a:graphic>
              <a:graphicData uri="http://schemas.openxmlformats.org/drawingml/2006/picture">
                <pic:pic>
                  <pic:nvPicPr>
                    <pic:cNvPr id="0" name="query_processing_flow.png"/>
                    <pic:cNvPicPr/>
                  </pic:nvPicPr>
                  <pic:blipFill>
                    <a:blip r:embed="rId11"/>
                    <a:stretch>
                      <a:fillRect/>
                    </a:stretch>
                  </pic:blipFill>
                  <pic:spPr>
                    <a:xfrm>
                      <a:off x="0" y="0"/>
                      <a:ext cx="5303520" cy="3014231"/>
                    </a:xfrm>
                    <a:prstGeom prst="rect"/>
                  </pic:spPr>
                </pic:pic>
              </a:graphicData>
            </a:graphic>
          </wp:inline>
        </w:drawing>
      </w:r>
    </w:p>
    <w:p>
      <w:pPr>
        <w:spacing w:before="0" w:after="200"/>
        <w:jc w:val="center"/>
      </w:pPr>
      <w:r>
        <w:rPr>
          <w:rFonts w:ascii="Times New Roman" w:hAnsi="Times New Roman"/>
          <w:b/>
          <w:color w:val="163A5F"/>
          <w:sz w:val="20"/>
        </w:rPr>
        <w:t>Figure A.2: Adaptive Query Execution Plan Flowchart &amp; Benchmarking Cycle</w:t>
      </w:r>
    </w:p>
    <w:p>
      <w:r>
        <w:br w:type="page"/>
      </w:r>
    </w:p>
    <w:p>
      <w:pPr>
        <w:keepNext/>
        <w:spacing w:before="240" w:after="80"/>
      </w:pPr>
      <w:r>
        <w:rPr>
          <w:rFonts w:ascii="Times New Roman" w:hAnsi="Times New Roman"/>
          <w:b/>
          <w:color w:val="0E7490"/>
          <w:sz w:val="25"/>
        </w:rPr>
        <w:t>APPENDIX B: Performance Benchmark Tables &amp; Hardware Telemetry</w:t>
      </w:r>
    </w:p>
    <w:p>
      <w:pPr>
        <w:spacing w:before="0" w:after="120" w:line="276" w:lineRule="auto"/>
        <w:jc w:val="both"/>
      </w:pPr>
      <w:r>
        <w:rPr>
          <w:rFonts w:ascii="Times New Roman" w:hAnsi="Times New Roman"/>
          <w:color w:val="0F172A"/>
          <w:sz w:val="22"/>
        </w:rPr>
        <w:t>Table B.1 provides granular multi-pass timing data across 5 consecutive benchmark runs for each analytical workload, demonstrating stable latency reduction after index creation.</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CBD5E1"/>
          <w:insideV w:val="none"/>
          <w:left w:val="none"/>
          <w:right w:val="none"/>
        </w:tblBorders>
      </w:tblPr>
      <w:tblGrid>
        <w:gridCol w:w="1170"/>
        <w:gridCol w:w="1170"/>
        <w:gridCol w:w="1170"/>
        <w:gridCol w:w="1170"/>
        <w:gridCol w:w="1170"/>
        <w:gridCol w:w="1170"/>
        <w:gridCol w:w="1170"/>
        <w:gridCol w:w="1170"/>
      </w:tblGrid>
      <w:tr>
        <w:tc>
          <w:tcPr>
            <w:tcW w:type="dxa" w:w="1872"/>
            <w:shd w:fill="163A5F"/>
            <w:tcMar>
              <w:top w:w="120" w:type="dxa"/>
              <w:bottom w:w="120" w:type="dxa"/>
              <w:left w:w="120" w:type="dxa"/>
              <w:right w:w="120" w:type="dxa"/>
            </w:tcMar>
            <w:vAlign w:val="center"/>
          </w:tcPr>
          <w:p>
            <w:pPr>
              <w:spacing w:before="0" w:after="0"/>
              <w:jc w:val="center"/>
            </w:pPr>
            <w:r>
              <w:rPr>
                <w:rFonts w:ascii="Times New Roman" w:hAnsi="Times New Roman"/>
                <w:b/>
                <w:color w:val="FFFFFF"/>
                <w:sz w:val="19"/>
              </w:rPr>
              <w:t>Workload ID</w:t>
            </w:r>
          </w:p>
        </w:tc>
        <w:tc>
          <w:tcPr>
            <w:tcW w:type="dxa" w:w="1008"/>
            <w:shd w:fill="163A5F"/>
            <w:tcMar>
              <w:top w:w="120" w:type="dxa"/>
              <w:bottom w:w="120" w:type="dxa"/>
              <w:left w:w="120" w:type="dxa"/>
              <w:right w:w="120" w:type="dxa"/>
            </w:tcMar>
            <w:vAlign w:val="center"/>
          </w:tcPr>
          <w:p>
            <w:pPr>
              <w:spacing w:before="0" w:after="0"/>
              <w:jc w:val="center"/>
            </w:pPr>
            <w:r>
              <w:rPr>
                <w:rFonts w:ascii="Times New Roman" w:hAnsi="Times New Roman"/>
                <w:b/>
                <w:color w:val="FFFFFF"/>
                <w:sz w:val="19"/>
              </w:rPr>
              <w:t>Run 1 (ms)</w:t>
            </w:r>
          </w:p>
        </w:tc>
        <w:tc>
          <w:tcPr>
            <w:tcW w:type="dxa" w:w="1008"/>
            <w:shd w:fill="163A5F"/>
            <w:tcMar>
              <w:top w:w="120" w:type="dxa"/>
              <w:bottom w:w="120" w:type="dxa"/>
              <w:left w:w="120" w:type="dxa"/>
              <w:right w:w="120" w:type="dxa"/>
            </w:tcMar>
            <w:vAlign w:val="center"/>
          </w:tcPr>
          <w:p>
            <w:pPr>
              <w:spacing w:before="0" w:after="0"/>
              <w:jc w:val="center"/>
            </w:pPr>
            <w:r>
              <w:rPr>
                <w:rFonts w:ascii="Times New Roman" w:hAnsi="Times New Roman"/>
                <w:b/>
                <w:color w:val="FFFFFF"/>
                <w:sz w:val="19"/>
              </w:rPr>
              <w:t>Run 2 (ms)</w:t>
            </w:r>
          </w:p>
        </w:tc>
        <w:tc>
          <w:tcPr>
            <w:tcW w:type="dxa" w:w="1008"/>
            <w:shd w:fill="163A5F"/>
            <w:tcMar>
              <w:top w:w="120" w:type="dxa"/>
              <w:bottom w:w="120" w:type="dxa"/>
              <w:left w:w="120" w:type="dxa"/>
              <w:right w:w="120" w:type="dxa"/>
            </w:tcMar>
            <w:vAlign w:val="center"/>
          </w:tcPr>
          <w:p>
            <w:pPr>
              <w:spacing w:before="0" w:after="0"/>
              <w:jc w:val="center"/>
            </w:pPr>
            <w:r>
              <w:rPr>
                <w:rFonts w:ascii="Times New Roman" w:hAnsi="Times New Roman"/>
                <w:b/>
                <w:color w:val="FFFFFF"/>
                <w:sz w:val="19"/>
              </w:rPr>
              <w:t>Run 3 (ms)</w:t>
            </w:r>
          </w:p>
        </w:tc>
        <w:tc>
          <w:tcPr>
            <w:tcW w:type="dxa" w:w="1008"/>
            <w:shd w:fill="163A5F"/>
            <w:tcMar>
              <w:top w:w="120" w:type="dxa"/>
              <w:bottom w:w="120" w:type="dxa"/>
              <w:left w:w="120" w:type="dxa"/>
              <w:right w:w="120" w:type="dxa"/>
            </w:tcMar>
            <w:vAlign w:val="center"/>
          </w:tcPr>
          <w:p>
            <w:pPr>
              <w:spacing w:before="0" w:after="0"/>
              <w:jc w:val="center"/>
            </w:pPr>
            <w:r>
              <w:rPr>
                <w:rFonts w:ascii="Times New Roman" w:hAnsi="Times New Roman"/>
                <w:b/>
                <w:color w:val="FFFFFF"/>
                <w:sz w:val="19"/>
              </w:rPr>
              <w:t>Run 4 (ms)</w:t>
            </w:r>
          </w:p>
        </w:tc>
        <w:tc>
          <w:tcPr>
            <w:tcW w:type="dxa" w:w="1008"/>
            <w:shd w:fill="163A5F"/>
            <w:tcMar>
              <w:top w:w="120" w:type="dxa"/>
              <w:bottom w:w="120" w:type="dxa"/>
              <w:left w:w="120" w:type="dxa"/>
              <w:right w:w="120" w:type="dxa"/>
            </w:tcMar>
            <w:vAlign w:val="center"/>
          </w:tcPr>
          <w:p>
            <w:pPr>
              <w:spacing w:before="0" w:after="0"/>
              <w:jc w:val="center"/>
            </w:pPr>
            <w:r>
              <w:rPr>
                <w:rFonts w:ascii="Times New Roman" w:hAnsi="Times New Roman"/>
                <w:b/>
                <w:color w:val="FFFFFF"/>
                <w:sz w:val="19"/>
              </w:rPr>
              <w:t>Run 5 (ms)</w:t>
            </w:r>
          </w:p>
        </w:tc>
        <w:tc>
          <w:tcPr>
            <w:tcW w:type="dxa" w:w="1440"/>
            <w:shd w:fill="163A5F"/>
            <w:tcMar>
              <w:top w:w="120" w:type="dxa"/>
              <w:bottom w:w="120" w:type="dxa"/>
              <w:left w:w="120" w:type="dxa"/>
              <w:right w:w="120" w:type="dxa"/>
            </w:tcMar>
            <w:vAlign w:val="center"/>
          </w:tcPr>
          <w:p>
            <w:pPr>
              <w:spacing w:before="0" w:after="0"/>
              <w:jc w:val="center"/>
            </w:pPr>
            <w:r>
              <w:rPr>
                <w:rFonts w:ascii="Times New Roman" w:hAnsi="Times New Roman"/>
                <w:b/>
                <w:color w:val="FFFFFF"/>
                <w:sz w:val="19"/>
              </w:rPr>
              <w:t>Mean Latency</w:t>
            </w:r>
          </w:p>
        </w:tc>
        <w:tc>
          <w:tcPr>
            <w:tcW w:type="dxa" w:w="1152"/>
            <w:shd w:fill="163A5F"/>
            <w:tcMar>
              <w:top w:w="120" w:type="dxa"/>
              <w:bottom w:w="120" w:type="dxa"/>
              <w:left w:w="120" w:type="dxa"/>
              <w:right w:w="120" w:type="dxa"/>
            </w:tcMar>
            <w:vAlign w:val="center"/>
          </w:tcPr>
          <w:p>
            <w:pPr>
              <w:spacing w:before="0" w:after="0"/>
              <w:jc w:val="center"/>
            </w:pPr>
            <w:r>
              <w:rPr>
                <w:rFonts w:ascii="Times New Roman" w:hAnsi="Times New Roman"/>
                <w:b/>
                <w:color w:val="FFFFFF"/>
                <w:sz w:val="19"/>
              </w:rPr>
              <w:t>Std Dev</w:t>
            </w:r>
          </w:p>
        </w:tc>
      </w:tr>
      <w:tr>
        <w:tc>
          <w:tcPr>
            <w:tcW w:type="dxa" w:w="1872"/>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Q1 (Unindexed)</w:t>
            </w:r>
          </w:p>
        </w:tc>
        <w:tc>
          <w:tcPr>
            <w:tcW w:type="dxa" w:w="1008"/>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41.2 ms</w:t>
            </w:r>
          </w:p>
        </w:tc>
        <w:tc>
          <w:tcPr>
            <w:tcW w:type="dxa" w:w="1008"/>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38.5 ms</w:t>
            </w:r>
          </w:p>
        </w:tc>
        <w:tc>
          <w:tcPr>
            <w:tcW w:type="dxa" w:w="1008"/>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37.9 ms</w:t>
            </w:r>
          </w:p>
        </w:tc>
        <w:tc>
          <w:tcPr>
            <w:tcW w:type="dxa" w:w="1008"/>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36.8 ms</w:t>
            </w:r>
          </w:p>
        </w:tc>
        <w:tc>
          <w:tcPr>
            <w:tcW w:type="dxa" w:w="1008"/>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37.7 ms</w:t>
            </w:r>
          </w:p>
        </w:tc>
        <w:tc>
          <w:tcPr>
            <w:tcW w:type="dxa" w:w="1440"/>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38.42 ms</w:t>
            </w:r>
          </w:p>
        </w:tc>
        <w:tc>
          <w:tcPr>
            <w:tcW w:type="dxa" w:w="1152"/>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±1.65 ms</w:t>
            </w:r>
          </w:p>
        </w:tc>
      </w:tr>
      <w:tr>
        <w:tc>
          <w:tcPr>
            <w:tcW w:type="dxa" w:w="1872"/>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Q1 (Optimized)</w:t>
            </w:r>
          </w:p>
        </w:tc>
        <w:tc>
          <w:tcPr>
            <w:tcW w:type="dxa" w:w="1008"/>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1.25 ms</w:t>
            </w:r>
          </w:p>
        </w:tc>
        <w:tc>
          <w:tcPr>
            <w:tcW w:type="dxa" w:w="1008"/>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1.05 ms</w:t>
            </w:r>
          </w:p>
        </w:tc>
        <w:tc>
          <w:tcPr>
            <w:tcW w:type="dxa" w:w="1008"/>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1.02 ms</w:t>
            </w:r>
          </w:p>
        </w:tc>
        <w:tc>
          <w:tcPr>
            <w:tcW w:type="dxa" w:w="1008"/>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1.04 ms</w:t>
            </w:r>
          </w:p>
        </w:tc>
        <w:tc>
          <w:tcPr>
            <w:tcW w:type="dxa" w:w="1008"/>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1.04 ms</w:t>
            </w:r>
          </w:p>
        </w:tc>
        <w:tc>
          <w:tcPr>
            <w:tcW w:type="dxa" w:w="1440"/>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1.08 ms</w:t>
            </w:r>
          </w:p>
        </w:tc>
        <w:tc>
          <w:tcPr>
            <w:tcW w:type="dxa" w:w="1152"/>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±0.09 ms</w:t>
            </w:r>
          </w:p>
        </w:tc>
      </w:tr>
      <w:tr>
        <w:tc>
          <w:tcPr>
            <w:tcW w:type="dxa" w:w="1872"/>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Q2 (Unindexed)</w:t>
            </w:r>
          </w:p>
        </w:tc>
        <w:tc>
          <w:tcPr>
            <w:tcW w:type="dxa" w:w="1008"/>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68.4 ms</w:t>
            </w:r>
          </w:p>
        </w:tc>
        <w:tc>
          <w:tcPr>
            <w:tcW w:type="dxa" w:w="1008"/>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63.2 ms</w:t>
            </w:r>
          </w:p>
        </w:tc>
        <w:tc>
          <w:tcPr>
            <w:tcW w:type="dxa" w:w="1008"/>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64.5 ms</w:t>
            </w:r>
          </w:p>
        </w:tc>
        <w:tc>
          <w:tcPr>
            <w:tcW w:type="dxa" w:w="1008"/>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62.8 ms</w:t>
            </w:r>
          </w:p>
        </w:tc>
        <w:tc>
          <w:tcPr>
            <w:tcW w:type="dxa" w:w="1008"/>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61.9 ms</w:t>
            </w:r>
          </w:p>
        </w:tc>
        <w:tc>
          <w:tcPr>
            <w:tcW w:type="dxa" w:w="1440"/>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64.16 ms</w:t>
            </w:r>
          </w:p>
        </w:tc>
        <w:tc>
          <w:tcPr>
            <w:tcW w:type="dxa" w:w="1152"/>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±2.51 ms</w:t>
            </w:r>
          </w:p>
        </w:tc>
      </w:tr>
      <w:tr>
        <w:tc>
          <w:tcPr>
            <w:tcW w:type="dxa" w:w="1872"/>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Q2 (Optimized)</w:t>
            </w:r>
          </w:p>
        </w:tc>
        <w:tc>
          <w:tcPr>
            <w:tcW w:type="dxa" w:w="1008"/>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4.80 ms</w:t>
            </w:r>
          </w:p>
        </w:tc>
        <w:tc>
          <w:tcPr>
            <w:tcW w:type="dxa" w:w="1008"/>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4.15 ms</w:t>
            </w:r>
          </w:p>
        </w:tc>
        <w:tc>
          <w:tcPr>
            <w:tcW w:type="dxa" w:w="1008"/>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4.05 ms</w:t>
            </w:r>
          </w:p>
        </w:tc>
        <w:tc>
          <w:tcPr>
            <w:tcW w:type="dxa" w:w="1008"/>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4.02 ms</w:t>
            </w:r>
          </w:p>
        </w:tc>
        <w:tc>
          <w:tcPr>
            <w:tcW w:type="dxa" w:w="1008"/>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4.03 ms</w:t>
            </w:r>
          </w:p>
        </w:tc>
        <w:tc>
          <w:tcPr>
            <w:tcW w:type="dxa" w:w="1440"/>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4.21 ms</w:t>
            </w:r>
          </w:p>
        </w:tc>
        <w:tc>
          <w:tcPr>
            <w:tcW w:type="dxa" w:w="1152"/>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±0.33 ms</w:t>
            </w:r>
          </w:p>
        </w:tc>
      </w:tr>
      <w:tr>
        <w:tc>
          <w:tcPr>
            <w:tcW w:type="dxa" w:w="1872"/>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Q3 (Unindexed)</w:t>
            </w:r>
          </w:p>
        </w:tc>
        <w:tc>
          <w:tcPr>
            <w:tcW w:type="dxa" w:w="1008"/>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156.2 ms</w:t>
            </w:r>
          </w:p>
        </w:tc>
        <w:tc>
          <w:tcPr>
            <w:tcW w:type="dxa" w:w="1008"/>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148.5 ms</w:t>
            </w:r>
          </w:p>
        </w:tc>
        <w:tc>
          <w:tcPr>
            <w:tcW w:type="dxa" w:w="1008"/>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145.2 ms</w:t>
            </w:r>
          </w:p>
        </w:tc>
        <w:tc>
          <w:tcPr>
            <w:tcW w:type="dxa" w:w="1008"/>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146.8 ms</w:t>
            </w:r>
          </w:p>
        </w:tc>
        <w:tc>
          <w:tcPr>
            <w:tcW w:type="dxa" w:w="1008"/>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147.3 ms</w:t>
            </w:r>
          </w:p>
        </w:tc>
        <w:tc>
          <w:tcPr>
            <w:tcW w:type="dxa" w:w="1440"/>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148.80 ms</w:t>
            </w:r>
          </w:p>
        </w:tc>
        <w:tc>
          <w:tcPr>
            <w:tcW w:type="dxa" w:w="1152"/>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±4.31 ms</w:t>
            </w:r>
          </w:p>
        </w:tc>
      </w:tr>
      <w:tr>
        <w:tc>
          <w:tcPr>
            <w:tcW w:type="dxa" w:w="1872"/>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Q3 (Optimized)</w:t>
            </w:r>
          </w:p>
        </w:tc>
        <w:tc>
          <w:tcPr>
            <w:tcW w:type="dxa" w:w="1008"/>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13.40 ms</w:t>
            </w:r>
          </w:p>
        </w:tc>
        <w:tc>
          <w:tcPr>
            <w:tcW w:type="dxa" w:w="1008"/>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12.50 ms</w:t>
            </w:r>
          </w:p>
        </w:tc>
        <w:tc>
          <w:tcPr>
            <w:tcW w:type="dxa" w:w="1008"/>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12.40 ms</w:t>
            </w:r>
          </w:p>
        </w:tc>
        <w:tc>
          <w:tcPr>
            <w:tcW w:type="dxa" w:w="1008"/>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12.35 ms</w:t>
            </w:r>
          </w:p>
        </w:tc>
        <w:tc>
          <w:tcPr>
            <w:tcW w:type="dxa" w:w="1008"/>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12.35 ms</w:t>
            </w:r>
          </w:p>
        </w:tc>
        <w:tc>
          <w:tcPr>
            <w:tcW w:type="dxa" w:w="1440"/>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12.60 ms</w:t>
            </w:r>
          </w:p>
        </w:tc>
        <w:tc>
          <w:tcPr>
            <w:tcW w:type="dxa" w:w="1152"/>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±0.45 ms</w:t>
            </w:r>
          </w:p>
        </w:tc>
      </w:tr>
      <w:tr>
        <w:tc>
          <w:tcPr>
            <w:tcW w:type="dxa" w:w="1872"/>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Q4 (Unindexed)</w:t>
            </w:r>
          </w:p>
        </w:tc>
        <w:tc>
          <w:tcPr>
            <w:tcW w:type="dxa" w:w="1008"/>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328.0 ms</w:t>
            </w:r>
          </w:p>
        </w:tc>
        <w:tc>
          <w:tcPr>
            <w:tcW w:type="dxa" w:w="1008"/>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315.4 ms</w:t>
            </w:r>
          </w:p>
        </w:tc>
        <w:tc>
          <w:tcPr>
            <w:tcW w:type="dxa" w:w="1008"/>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309.2 ms</w:t>
            </w:r>
          </w:p>
        </w:tc>
        <w:tc>
          <w:tcPr>
            <w:tcW w:type="dxa" w:w="1008"/>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304.5 ms</w:t>
            </w:r>
          </w:p>
        </w:tc>
        <w:tc>
          <w:tcPr>
            <w:tcW w:type="dxa" w:w="1008"/>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305.4 ms</w:t>
            </w:r>
          </w:p>
        </w:tc>
        <w:tc>
          <w:tcPr>
            <w:tcW w:type="dxa" w:w="1440"/>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312.50 ms</w:t>
            </w:r>
          </w:p>
        </w:tc>
        <w:tc>
          <w:tcPr>
            <w:tcW w:type="dxa" w:w="1152"/>
            <w:shd w:fill="FFFFFF"/>
            <w:tcMar>
              <w:top w:w="90" w:type="dxa"/>
              <w:bottom w:w="90" w:type="dxa"/>
              <w:left w:w="120" w:type="dxa"/>
              <w:right w:w="120" w:type="dxa"/>
            </w:tcMar>
            <w:vAlign w:val="center"/>
          </w:tcPr>
          <w:p>
            <w:pPr>
              <w:spacing w:before="0" w:after="0"/>
              <w:jc w:val="center"/>
            </w:pPr>
            <w:r>
              <w:rPr>
                <w:rFonts w:ascii="Times New Roman" w:hAnsi="Times New Roman"/>
                <w:color w:val="0F172A"/>
                <w:sz w:val="18"/>
              </w:rPr>
              <w:t>±9.65 ms</w:t>
            </w:r>
          </w:p>
        </w:tc>
      </w:tr>
      <w:tr>
        <w:tc>
          <w:tcPr>
            <w:tcW w:type="dxa" w:w="1872"/>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Q4 (Optimized)</w:t>
            </w:r>
          </w:p>
        </w:tc>
        <w:tc>
          <w:tcPr>
            <w:tcW w:type="dxa" w:w="1008"/>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39.50 ms</w:t>
            </w:r>
          </w:p>
        </w:tc>
        <w:tc>
          <w:tcPr>
            <w:tcW w:type="dxa" w:w="1008"/>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37.10 ms</w:t>
            </w:r>
          </w:p>
        </w:tc>
        <w:tc>
          <w:tcPr>
            <w:tcW w:type="dxa" w:w="1008"/>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36.80 ms</w:t>
            </w:r>
          </w:p>
        </w:tc>
        <w:tc>
          <w:tcPr>
            <w:tcW w:type="dxa" w:w="1008"/>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36.20 ms</w:t>
            </w:r>
          </w:p>
        </w:tc>
        <w:tc>
          <w:tcPr>
            <w:tcW w:type="dxa" w:w="1008"/>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36.40 ms</w:t>
            </w:r>
          </w:p>
        </w:tc>
        <w:tc>
          <w:tcPr>
            <w:tcW w:type="dxa" w:w="1440"/>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37.20 ms</w:t>
            </w:r>
          </w:p>
        </w:tc>
        <w:tc>
          <w:tcPr>
            <w:tcW w:type="dxa" w:w="1152"/>
            <w:shd w:fill="F8FAFC"/>
            <w:tcMar>
              <w:top w:w="90" w:type="dxa"/>
              <w:bottom w:w="90" w:type="dxa"/>
              <w:left w:w="120" w:type="dxa"/>
              <w:right w:w="120" w:type="dxa"/>
            </w:tcMar>
            <w:vAlign w:val="center"/>
          </w:tcPr>
          <w:p>
            <w:pPr>
              <w:spacing w:before="0" w:after="0"/>
              <w:jc w:val="center"/>
            </w:pPr>
            <w:r>
              <w:rPr>
                <w:rFonts w:ascii="Times New Roman" w:hAnsi="Times New Roman"/>
                <w:color w:val="0F172A"/>
                <w:sz w:val="18"/>
              </w:rPr>
              <w:t>±1.32 ms</w:t>
            </w:r>
          </w:p>
        </w:tc>
      </w:tr>
    </w:tbl>
    <w:p>
      <w:pPr>
        <w:spacing w:before="0" w:after="120"/>
      </w:pPr>
    </w:p>
    <w:p>
      <w:r>
        <w:br w:type="page"/>
      </w:r>
    </w:p>
    <w:p>
      <w:pPr>
        <w:keepNext/>
        <w:spacing w:before="240" w:after="80"/>
      </w:pPr>
      <w:r>
        <w:rPr>
          <w:rFonts w:ascii="Times New Roman" w:hAnsi="Times New Roman"/>
          <w:b/>
          <w:color w:val="0E7490"/>
          <w:sz w:val="25"/>
        </w:rPr>
        <w:t>APPENDIX C: Full-Color Dashboard &amp; Operational Screenshots</w:t>
      </w:r>
    </w:p>
    <w:p>
      <w:pPr>
        <w:spacing w:before="0" w:after="120" w:line="276" w:lineRule="auto"/>
        <w:jc w:val="both"/>
      </w:pPr>
      <w:r>
        <w:rPr>
          <w:rFonts w:ascii="Times New Roman" w:hAnsi="Times New Roman"/>
          <w:color w:val="0F172A"/>
          <w:sz w:val="22"/>
        </w:rPr>
        <w:t>This section compiles full-resolution screenshots of all operational interfaces in PULSE CORE, capturing live clinical dashboards, the visual ReactFlow query plan execution tree, the automated optimizer, and machine learning analytics.</w:t>
      </w:r>
    </w:p>
    <w:p>
      <w:pPr>
        <w:spacing w:before="160" w:after="60"/>
        <w:jc w:val="center"/>
      </w:pPr>
      <w:r>
        <w:drawing>
          <wp:inline xmlns:a="http://schemas.openxmlformats.org/drawingml/2006/main" xmlns:pic="http://schemas.openxmlformats.org/drawingml/2006/picture">
            <wp:extent cx="5303520" cy="3480435"/>
            <wp:docPr id="13" name="Picture 13"/>
            <wp:cNvGraphicFramePr>
              <a:graphicFrameLocks noChangeAspect="1"/>
            </wp:cNvGraphicFramePr>
            <a:graphic>
              <a:graphicData uri="http://schemas.openxmlformats.org/drawingml/2006/picture">
                <pic:pic>
                  <pic:nvPicPr>
                    <pic:cNvPr id="0" name="01_executive_dashboard.png"/>
                    <pic:cNvPicPr/>
                  </pic:nvPicPr>
                  <pic:blipFill>
                    <a:blip r:embed="rId14"/>
                    <a:stretch>
                      <a:fillRect/>
                    </a:stretch>
                  </pic:blipFill>
                  <pic:spPr>
                    <a:xfrm>
                      <a:off x="0" y="0"/>
                      <a:ext cx="5303520" cy="3480435"/>
                    </a:xfrm>
                    <a:prstGeom prst="rect"/>
                  </pic:spPr>
                </pic:pic>
              </a:graphicData>
            </a:graphic>
          </wp:inline>
        </w:drawing>
      </w:r>
    </w:p>
    <w:p>
      <w:pPr>
        <w:spacing w:before="0" w:after="200"/>
        <w:jc w:val="center"/>
      </w:pPr>
      <w:r>
        <w:rPr>
          <w:rFonts w:ascii="Times New Roman" w:hAnsi="Times New Roman"/>
          <w:b/>
          <w:color w:val="163A5F"/>
          <w:sz w:val="20"/>
        </w:rPr>
        <w:t>Figure C.1: Executive Clinical Operations &amp; Database KPI Dashboard</w:t>
      </w:r>
    </w:p>
    <w:p>
      <w:pPr>
        <w:spacing w:before="160" w:after="60"/>
        <w:jc w:val="center"/>
      </w:pPr>
      <w:r>
        <w:drawing>
          <wp:inline xmlns:a="http://schemas.openxmlformats.org/drawingml/2006/main" xmlns:pic="http://schemas.openxmlformats.org/drawingml/2006/picture">
            <wp:extent cx="5303520" cy="3480435"/>
            <wp:docPr id="14" name="Picture 14"/>
            <wp:cNvGraphicFramePr>
              <a:graphicFrameLocks noChangeAspect="1"/>
            </wp:cNvGraphicFramePr>
            <a:graphic>
              <a:graphicData uri="http://schemas.openxmlformats.org/drawingml/2006/picture">
                <pic:pic>
                  <pic:nvPicPr>
                    <pic:cNvPr id="0" name="02_query_workspace.png"/>
                    <pic:cNvPicPr/>
                  </pic:nvPicPr>
                  <pic:blipFill>
                    <a:blip r:embed="rId15"/>
                    <a:stretch>
                      <a:fillRect/>
                    </a:stretch>
                  </pic:blipFill>
                  <pic:spPr>
                    <a:xfrm>
                      <a:off x="0" y="0"/>
                      <a:ext cx="5303520" cy="3480435"/>
                    </a:xfrm>
                    <a:prstGeom prst="rect"/>
                  </pic:spPr>
                </pic:pic>
              </a:graphicData>
            </a:graphic>
          </wp:inline>
        </w:drawing>
      </w:r>
    </w:p>
    <w:p>
      <w:pPr>
        <w:spacing w:before="0" w:after="200"/>
        <w:jc w:val="center"/>
      </w:pPr>
      <w:r>
        <w:rPr>
          <w:rFonts w:ascii="Times New Roman" w:hAnsi="Times New Roman"/>
          <w:b/>
          <w:color w:val="163A5F"/>
          <w:sz w:val="20"/>
        </w:rPr>
        <w:t>Figure C.2: Interactive SQL Query Workspace with ReactFlow Plan Visualizer</w:t>
      </w:r>
    </w:p>
    <w:p>
      <w:pPr>
        <w:spacing w:before="160" w:after="60"/>
        <w:jc w:val="center"/>
      </w:pPr>
      <w:r>
        <w:drawing>
          <wp:inline xmlns:a="http://schemas.openxmlformats.org/drawingml/2006/main" xmlns:pic="http://schemas.openxmlformats.org/drawingml/2006/picture">
            <wp:extent cx="5303520" cy="3480435"/>
            <wp:docPr id="15" name="Picture 15"/>
            <wp:cNvGraphicFramePr>
              <a:graphicFrameLocks noChangeAspect="1"/>
            </wp:cNvGraphicFramePr>
            <a:graphic>
              <a:graphicData uri="http://schemas.openxmlformats.org/drawingml/2006/picture">
                <pic:pic>
                  <pic:nvPicPr>
                    <pic:cNvPr id="0" name="03_adaptive_optimizer.png"/>
                    <pic:cNvPicPr/>
                  </pic:nvPicPr>
                  <pic:blipFill>
                    <a:blip r:embed="rId16"/>
                    <a:stretch>
                      <a:fillRect/>
                    </a:stretch>
                  </pic:blipFill>
                  <pic:spPr>
                    <a:xfrm>
                      <a:off x="0" y="0"/>
                      <a:ext cx="5303520" cy="3480435"/>
                    </a:xfrm>
                    <a:prstGeom prst="rect"/>
                  </pic:spPr>
                </pic:pic>
              </a:graphicData>
            </a:graphic>
          </wp:inline>
        </w:drawing>
      </w:r>
    </w:p>
    <w:p>
      <w:pPr>
        <w:spacing w:before="0" w:after="200"/>
        <w:jc w:val="center"/>
      </w:pPr>
      <w:r>
        <w:rPr>
          <w:rFonts w:ascii="Times New Roman" w:hAnsi="Times New Roman"/>
          <w:b/>
          <w:color w:val="163A5F"/>
          <w:sz w:val="20"/>
        </w:rPr>
        <w:t>Figure C.3: Adaptive Query Optimizer with Automated A/B Performance Benchmark</w:t>
      </w:r>
    </w:p>
    <w:p>
      <w:pPr>
        <w:spacing w:before="160" w:after="60"/>
        <w:jc w:val="center"/>
      </w:pPr>
      <w:r>
        <w:drawing>
          <wp:inline xmlns:a="http://schemas.openxmlformats.org/drawingml/2006/main" xmlns:pic="http://schemas.openxmlformats.org/drawingml/2006/picture">
            <wp:extent cx="5303520" cy="3480435"/>
            <wp:docPr id="16" name="Picture 16"/>
            <wp:cNvGraphicFramePr>
              <a:graphicFrameLocks noChangeAspect="1"/>
            </wp:cNvGraphicFramePr>
            <a:graphic>
              <a:graphicData uri="http://schemas.openxmlformats.org/drawingml/2006/picture">
                <pic:pic>
                  <pic:nvPicPr>
                    <pic:cNvPr id="0" name="04_predictive_analytics.png"/>
                    <pic:cNvPicPr/>
                  </pic:nvPicPr>
                  <pic:blipFill>
                    <a:blip r:embed="rId17"/>
                    <a:stretch>
                      <a:fillRect/>
                    </a:stretch>
                  </pic:blipFill>
                  <pic:spPr>
                    <a:xfrm>
                      <a:off x="0" y="0"/>
                      <a:ext cx="5303520" cy="3480435"/>
                    </a:xfrm>
                    <a:prstGeom prst="rect"/>
                  </pic:spPr>
                </pic:pic>
              </a:graphicData>
            </a:graphic>
          </wp:inline>
        </w:drawing>
      </w:r>
    </w:p>
    <w:p>
      <w:pPr>
        <w:spacing w:before="0" w:after="200"/>
        <w:jc w:val="center"/>
      </w:pPr>
      <w:r>
        <w:rPr>
          <w:rFonts w:ascii="Times New Roman" w:hAnsi="Times New Roman"/>
          <w:b/>
          <w:color w:val="163A5F"/>
          <w:sz w:val="20"/>
        </w:rPr>
        <w:t>Figure C.4: 3-Model Machine Learning Predictive Risk Analytics Dashboard</w:t>
      </w:r>
    </w:p>
    <w:p>
      <w:pPr>
        <w:spacing w:before="160" w:after="60"/>
        <w:jc w:val="center"/>
      </w:pPr>
      <w:r>
        <w:drawing>
          <wp:inline xmlns:a="http://schemas.openxmlformats.org/drawingml/2006/main" xmlns:pic="http://schemas.openxmlformats.org/drawingml/2006/picture">
            <wp:extent cx="5303520" cy="3480435"/>
            <wp:docPr id="17" name="Picture 17"/>
            <wp:cNvGraphicFramePr>
              <a:graphicFrameLocks noChangeAspect="1"/>
            </wp:cNvGraphicFramePr>
            <a:graphic>
              <a:graphicData uri="http://schemas.openxmlformats.org/drawingml/2006/picture">
                <pic:pic>
                  <pic:nvPicPr>
                    <pic:cNvPr id="0" name="05_live_monitoring.png"/>
                    <pic:cNvPicPr/>
                  </pic:nvPicPr>
                  <pic:blipFill>
                    <a:blip r:embed="rId18"/>
                    <a:stretch>
                      <a:fillRect/>
                    </a:stretch>
                  </pic:blipFill>
                  <pic:spPr>
                    <a:xfrm>
                      <a:off x="0" y="0"/>
                      <a:ext cx="5303520" cy="3480435"/>
                    </a:xfrm>
                    <a:prstGeom prst="rect"/>
                  </pic:spPr>
                </pic:pic>
              </a:graphicData>
            </a:graphic>
          </wp:inline>
        </w:drawing>
      </w:r>
    </w:p>
    <w:p>
      <w:pPr>
        <w:spacing w:before="0" w:after="200"/>
        <w:jc w:val="center"/>
      </w:pPr>
      <w:r>
        <w:rPr>
          <w:rFonts w:ascii="Times New Roman" w:hAnsi="Times New Roman"/>
          <w:b/>
          <w:color w:val="163A5F"/>
          <w:sz w:val="20"/>
        </w:rPr>
        <w:t>Figure C.5: Live Ward &amp; ICU Vital Signs Telemetry Stream Interface</w:t>
      </w:r>
    </w:p>
    <w:p>
      <w:pPr>
        <w:spacing w:before="160" w:after="60"/>
        <w:jc w:val="center"/>
      </w:pPr>
      <w:r>
        <w:drawing>
          <wp:inline xmlns:a="http://schemas.openxmlformats.org/drawingml/2006/main" xmlns:pic="http://schemas.openxmlformats.org/drawingml/2006/picture">
            <wp:extent cx="5303520" cy="3480435"/>
            <wp:docPr id="18" name="Picture 18"/>
            <wp:cNvGraphicFramePr>
              <a:graphicFrameLocks noChangeAspect="1"/>
            </wp:cNvGraphicFramePr>
            <a:graphic>
              <a:graphicData uri="http://schemas.openxmlformats.org/drawingml/2006/picture">
                <pic:pic>
                  <pic:nvPicPr>
                    <pic:cNvPr id="0" name="06_patient_registry.png"/>
                    <pic:cNvPicPr/>
                  </pic:nvPicPr>
                  <pic:blipFill>
                    <a:blip r:embed="rId19"/>
                    <a:stretch>
                      <a:fillRect/>
                    </a:stretch>
                  </pic:blipFill>
                  <pic:spPr>
                    <a:xfrm>
                      <a:off x="0" y="0"/>
                      <a:ext cx="5303520" cy="3480435"/>
                    </a:xfrm>
                    <a:prstGeom prst="rect"/>
                  </pic:spPr>
                </pic:pic>
              </a:graphicData>
            </a:graphic>
          </wp:inline>
        </w:drawing>
      </w:r>
    </w:p>
    <w:p>
      <w:pPr>
        <w:spacing w:before="0" w:after="200"/>
        <w:jc w:val="center"/>
      </w:pPr>
      <w:r>
        <w:rPr>
          <w:rFonts w:ascii="Times New Roman" w:hAnsi="Times New Roman"/>
          <w:b/>
          <w:color w:val="163A5F"/>
          <w:sz w:val="20"/>
        </w:rPr>
        <w:t>Figure C.6: Longitudinal Patient Clinical Registry &amp; Medical Profile View</w:t>
      </w:r>
    </w:p>
    <w:p>
      <w:pPr>
        <w:spacing w:before="160" w:after="60"/>
        <w:jc w:val="center"/>
      </w:pPr>
      <w:r>
        <w:drawing>
          <wp:inline xmlns:a="http://schemas.openxmlformats.org/drawingml/2006/main" xmlns:pic="http://schemas.openxmlformats.org/drawingml/2006/picture">
            <wp:extent cx="5303520" cy="3480435"/>
            <wp:docPr id="19" name="Picture 19"/>
            <wp:cNvGraphicFramePr>
              <a:graphicFrameLocks noChangeAspect="1"/>
            </wp:cNvGraphicFramePr>
            <a:graphic>
              <a:graphicData uri="http://schemas.openxmlformats.org/drawingml/2006/picture">
                <pic:pic>
                  <pic:nvPicPr>
                    <pic:cNvPr id="0" name="07_admissions_bed_management.png"/>
                    <pic:cNvPicPr/>
                  </pic:nvPicPr>
                  <pic:blipFill>
                    <a:blip r:embed="rId20"/>
                    <a:stretch>
                      <a:fillRect/>
                    </a:stretch>
                  </pic:blipFill>
                  <pic:spPr>
                    <a:xfrm>
                      <a:off x="0" y="0"/>
                      <a:ext cx="5303520" cy="3480435"/>
                    </a:xfrm>
                    <a:prstGeom prst="rect"/>
                  </pic:spPr>
                </pic:pic>
              </a:graphicData>
            </a:graphic>
          </wp:inline>
        </w:drawing>
      </w:r>
    </w:p>
    <w:p>
      <w:pPr>
        <w:spacing w:before="0" w:after="200"/>
        <w:jc w:val="center"/>
      </w:pPr>
      <w:r>
        <w:rPr>
          <w:rFonts w:ascii="Times New Roman" w:hAnsi="Times New Roman"/>
          <w:b/>
          <w:color w:val="163A5F"/>
          <w:sz w:val="20"/>
        </w:rPr>
        <w:t>Figure C.7: Hospital Inpatient Admissions &amp; Ward Bed Census Management</w:t>
      </w:r>
    </w:p>
    <w:p>
      <w:pPr>
        <w:spacing w:before="160" w:after="60"/>
        <w:jc w:val="center"/>
      </w:pPr>
      <w:r>
        <w:drawing>
          <wp:inline xmlns:a="http://schemas.openxmlformats.org/drawingml/2006/main" xmlns:pic="http://schemas.openxmlformats.org/drawingml/2006/picture">
            <wp:extent cx="5303520" cy="3480435"/>
            <wp:docPr id="20" name="Picture 20"/>
            <wp:cNvGraphicFramePr>
              <a:graphicFrameLocks noChangeAspect="1"/>
            </wp:cNvGraphicFramePr>
            <a:graphic>
              <a:graphicData uri="http://schemas.openxmlformats.org/drawingml/2006/picture">
                <pic:pic>
                  <pic:nvPicPr>
                    <pic:cNvPr id="0" name="08_clinical_alerts.png"/>
                    <pic:cNvPicPr/>
                  </pic:nvPicPr>
                  <pic:blipFill>
                    <a:blip r:embed="rId21"/>
                    <a:stretch>
                      <a:fillRect/>
                    </a:stretch>
                  </pic:blipFill>
                  <pic:spPr>
                    <a:xfrm>
                      <a:off x="0" y="0"/>
                      <a:ext cx="5303520" cy="3480435"/>
                    </a:xfrm>
                    <a:prstGeom prst="rect"/>
                  </pic:spPr>
                </pic:pic>
              </a:graphicData>
            </a:graphic>
          </wp:inline>
        </w:drawing>
      </w:r>
    </w:p>
    <w:p>
      <w:pPr>
        <w:spacing w:before="0" w:after="200"/>
        <w:jc w:val="center"/>
      </w:pPr>
      <w:r>
        <w:rPr>
          <w:rFonts w:ascii="Times New Roman" w:hAnsi="Times New Roman"/>
          <w:b/>
          <w:color w:val="163A5F"/>
          <w:sz w:val="20"/>
        </w:rPr>
        <w:t>Figure C.8: Clinical Early Warning Alerts &amp; Diagnostic Escalation Center</w:t>
      </w:r>
    </w:p>
    <w:p>
      <w:pPr>
        <w:spacing w:before="160" w:after="60"/>
        <w:jc w:val="center"/>
      </w:pPr>
      <w:r>
        <w:drawing>
          <wp:inline xmlns:a="http://schemas.openxmlformats.org/drawingml/2006/main" xmlns:pic="http://schemas.openxmlformats.org/drawingml/2006/picture">
            <wp:extent cx="5303520" cy="3480435"/>
            <wp:docPr id="21" name="Picture 21"/>
            <wp:cNvGraphicFramePr>
              <a:graphicFrameLocks noChangeAspect="1"/>
            </wp:cNvGraphicFramePr>
            <a:graphic>
              <a:graphicData uri="http://schemas.openxmlformats.org/drawingml/2006/picture">
                <pic:pic>
                  <pic:nvPicPr>
                    <pic:cNvPr id="0" name="09_audit_logs.png"/>
                    <pic:cNvPicPr/>
                  </pic:nvPicPr>
                  <pic:blipFill>
                    <a:blip r:embed="rId22"/>
                    <a:stretch>
                      <a:fillRect/>
                    </a:stretch>
                  </pic:blipFill>
                  <pic:spPr>
                    <a:xfrm>
                      <a:off x="0" y="0"/>
                      <a:ext cx="5303520" cy="3480435"/>
                    </a:xfrm>
                    <a:prstGeom prst="rect"/>
                  </pic:spPr>
                </pic:pic>
              </a:graphicData>
            </a:graphic>
          </wp:inline>
        </w:drawing>
      </w:r>
    </w:p>
    <w:p>
      <w:pPr>
        <w:spacing w:before="0" w:after="200"/>
        <w:jc w:val="center"/>
      </w:pPr>
      <w:r>
        <w:rPr>
          <w:rFonts w:ascii="Times New Roman" w:hAnsi="Times New Roman"/>
          <w:b/>
          <w:color w:val="163A5F"/>
          <w:sz w:val="20"/>
        </w:rPr>
        <w:t>Figure C.9: Immutable Security Audit Trail &amp; Access Governance Log</w:t>
      </w:r>
    </w:p>
    <w:p>
      <w:pPr>
        <w:spacing w:before="160" w:after="60"/>
        <w:jc w:val="center"/>
      </w:pPr>
      <w:r>
        <w:drawing>
          <wp:inline xmlns:a="http://schemas.openxmlformats.org/drawingml/2006/main" xmlns:pic="http://schemas.openxmlformats.org/drawingml/2006/picture">
            <wp:extent cx="5303520" cy="3480435"/>
            <wp:docPr id="22" name="Picture 22"/>
            <wp:cNvGraphicFramePr>
              <a:graphicFrameLocks noChangeAspect="1"/>
            </wp:cNvGraphicFramePr>
            <a:graphic>
              <a:graphicData uri="http://schemas.openxmlformats.org/drawingml/2006/picture">
                <pic:pic>
                  <pic:nvPicPr>
                    <pic:cNvPr id="0" name="10_system_admin.png"/>
                    <pic:cNvPicPr/>
                  </pic:nvPicPr>
                  <pic:blipFill>
                    <a:blip r:embed="rId23"/>
                    <a:stretch>
                      <a:fillRect/>
                    </a:stretch>
                  </pic:blipFill>
                  <pic:spPr>
                    <a:xfrm>
                      <a:off x="0" y="0"/>
                      <a:ext cx="5303520" cy="3480435"/>
                    </a:xfrm>
                    <a:prstGeom prst="rect"/>
                  </pic:spPr>
                </pic:pic>
              </a:graphicData>
            </a:graphic>
          </wp:inline>
        </w:drawing>
      </w:r>
    </w:p>
    <w:p>
      <w:pPr>
        <w:spacing w:before="0" w:after="200"/>
        <w:jc w:val="center"/>
      </w:pPr>
      <w:r>
        <w:rPr>
          <w:rFonts w:ascii="Times New Roman" w:hAnsi="Times New Roman"/>
          <w:b/>
          <w:color w:val="163A5F"/>
          <w:sz w:val="20"/>
        </w:rPr>
        <w:t>Figure C.10: System Infrastructure Health &amp; Database Connection Telemetry</w:t>
      </w:r>
    </w:p>
    <w:p>
      <w:r>
        <w:br w:type="page"/>
      </w:r>
    </w:p>
    <w:p>
      <w:pPr>
        <w:keepNext/>
        <w:spacing w:before="240" w:after="80"/>
      </w:pPr>
      <w:r>
        <w:rPr>
          <w:rFonts w:ascii="Times New Roman" w:hAnsi="Times New Roman"/>
          <w:b/>
          <w:color w:val="0E7490"/>
          <w:sz w:val="25"/>
        </w:rPr>
        <w:t>APPENDIX D: Core System Source Code Listings</w:t>
      </w:r>
    </w:p>
    <w:p>
      <w:pPr>
        <w:spacing w:before="0" w:after="120" w:line="276" w:lineRule="auto"/>
        <w:jc w:val="both"/>
      </w:pPr>
      <w:r>
        <w:rPr>
          <w:rFonts w:ascii="Times New Roman" w:hAnsi="Times New Roman"/>
          <w:color w:val="0F172A"/>
          <w:sz w:val="22"/>
        </w:rPr>
        <w:t>The following code listings provide the core algorithmic implementations of PULSE CORE:</w:t>
      </w:r>
    </w:p>
    <w:p>
      <w:pPr>
        <w:spacing w:before="120" w:after="40"/>
      </w:pPr>
      <w:r>
        <w:rPr>
          <w:rFonts w:ascii="Courier New" w:hAnsi="Courier New"/>
          <w:b/>
          <w:color w:val="0E7490"/>
          <w:sz w:val="19"/>
        </w:rPr>
        <w:t>Listing D.1: AST Query Security Guardrail Validator (query_engine.py)</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CBD5E1"/>
          <w:insideV w:val="none"/>
          <w:left w:val="none"/>
          <w:right w:val="none"/>
        </w:tblBorders>
      </w:tblPr>
      <w:tblGrid>
        <w:gridCol w:w="9360"/>
      </w:tblGrid>
      <w:tr>
        <w:tc>
          <w:tcPr>
            <w:tcW w:type="dxa" w:w="9360"/>
            <w:shd w:fill="F1F5F9"/>
            <w:tcMar>
              <w:top w:w="120" w:type="dxa"/>
              <w:bottom w:w="120" w:type="dxa"/>
              <w:left w:w="150" w:type="dxa"/>
              <w:right w:w="150" w:type="dxa"/>
            </w:tcMar>
          </w:tcPr>
          <w:p>
            <w:pPr>
              <w:spacing w:before="0" w:after="0" w:line="252" w:lineRule="auto"/>
            </w:pPr>
            <w:r>
              <w:rPr>
                <w:rFonts w:ascii="Consolas" w:hAnsi="Consolas"/>
                <w:color w:val="1E293B"/>
                <w:sz w:val="17"/>
              </w:rPr>
              <w:t># ==============================================================================</w:t>
              <w:br/>
              <w:t># PULSE CORE: AST Query Parser &amp; Read-Only Security Guardrails</w:t>
              <w:br/>
              <w:t># backend/app/services/query_engine.py</w:t>
              <w:br/>
              <w:t># ==============================================================================</w:t>
              <w:br/>
              <w:t>import time, json, hashlib, psycopg2, sqlglot</w:t>
              <w:br/>
              <w:t>from sqlglot import exp</w:t>
              <w:br/>
              <w:t>from typing import Dict, Any, List, Optional, Tuple</w:t>
              <w:br/>
              <w:br/>
              <w:t>FORBIDDEN_EXPRESSION_TYPES = (</w:t>
              <w:br/>
              <w:t xml:space="preserve">    exp.Insert, exp.Update, exp.Delete, exp.Drop, exp.Create,</w:t>
              <w:br/>
              <w:t xml:space="preserve">    exp.Alter, exp.TruncateTable, exp.Grant, exp.Revoke, exp.Command,</w:t>
              <w:br/>
              <w:t xml:space="preserve">    exp.Transaction, exp.Commit, exp.Rollback</w:t>
              <w:br/>
              <w:t>)</w:t>
              <w:br/>
              <w:br/>
              <w:t>FORBIDDEN_FUNCTIONS = {</w:t>
              <w:br/>
              <w:t xml:space="preserve">    "pg_sleep", "pg_read_file", "pg_write_file", "pg_ls_dir",</w:t>
              <w:br/>
              <w:t xml:space="preserve">    "pg_stat_file", "lo_export", "lo_import", "dblink", "dblink_exec",</w:t>
              <w:br/>
              <w:t xml:space="preserve">    "pg_terminate_backend", "pg_cancel_backend", "current_setting"</w:t>
              <w:br/>
              <w:t>}</w:t>
              <w:br/>
              <w:br/>
              <w:t>def validate_safe_readonly_sql(sql_string: str) -&gt; Tuple[bool, Optional[str], Optional[exp.Expression]]:</w:t>
              <w:br/>
              <w:t xml:space="preserve">    clean_sql = sql_string.strip()</w:t>
              <w:br/>
              <w:t xml:space="preserve">    if not clean_sql:</w:t>
              <w:br/>
              <w:t xml:space="preserve">        return False, "Query cannot be empty.", None</w:t>
              <w:br/>
              <w:br/>
              <w:t xml:space="preserve">    try:</w:t>
              <w:br/>
              <w:t xml:space="preserve">        parsed_statements = sqlglot.parse(clean_sql)</w:t>
              <w:br/>
              <w:t xml:space="preserve">        if not parsed_statements or len(parsed_statements) &gt; 1:</w:t>
              <w:br/>
              <w:t xml:space="preserve">            return False, "Single-statement read-only SELECT queries required.", None</w:t>
              <w:br/>
              <w:br/>
              <w:t xml:space="preserve">        parsed = parsed_statements[0]</w:t>
              <w:br/>
              <w:t xml:space="preserve">        if not isinstance(parsed, (exp.Select, exp.Union)):</w:t>
              <w:br/>
              <w:t xml:space="preserve">            return False, f"Statement type '{parsed.key.upper()}' is not permitted.", None</w:t>
              <w:br/>
              <w:br/>
              <w:t xml:space="preserve">        for forbidden_type in FORBIDDEN_EXPRESSION_TYPES:</w:t>
              <w:br/>
              <w:t xml:space="preserve">            if parsed.find(forbidden_type) is not None:</w:t>
              <w:br/>
              <w:t xml:space="preserve">                return False, f"Forbidden operation '{forbidden_type.__name__.upper()}' blocked.", None</w:t>
              <w:br/>
              <w:br/>
              <w:t xml:space="preserve">        for func in parsed.find_all(exp.Anonymous):</w:t>
              <w:br/>
              <w:t xml:space="preserve">            if func.name.lower() in FORBIDDEN_FUNCTIONS:</w:t>
              <w:br/>
              <w:t xml:space="preserve">                return False, f"Dangerous built-in function '{func.name}()' blocked.", None</w:t>
              <w:br/>
              <w:br/>
              <w:t xml:space="preserve">        return True, None, parsed</w:t>
              <w:br/>
              <w:t xml:space="preserve">    except Exception as e:</w:t>
              <w:br/>
              <w:t xml:space="preserve">        return False, f"SQL Syntax/Validation error: {str(e)}", None</w:t>
            </w:r>
          </w:p>
        </w:tc>
      </w:tr>
    </w:tbl>
    <w:p>
      <w:pPr>
        <w:spacing w:before="0" w:after="80"/>
      </w:pPr>
    </w:p>
    <w:p>
      <w:pPr>
        <w:spacing w:before="120" w:after="40"/>
      </w:pPr>
      <w:r>
        <w:rPr>
          <w:rFonts w:ascii="Courier New" w:hAnsi="Courier New"/>
          <w:b/>
          <w:color w:val="0E7490"/>
          <w:sz w:val="19"/>
        </w:rPr>
        <w:t>Listing D.2: Contextual Query Optimizer &amp; Index Recommender (optimizer.py)</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CBD5E1"/>
          <w:insideV w:val="none"/>
          <w:left w:val="none"/>
          <w:right w:val="none"/>
        </w:tblBorders>
      </w:tblPr>
      <w:tblGrid>
        <w:gridCol w:w="9360"/>
      </w:tblGrid>
      <w:tr>
        <w:tc>
          <w:tcPr>
            <w:tcW w:type="dxa" w:w="9360"/>
            <w:shd w:fill="F1F5F9"/>
            <w:tcMar>
              <w:top w:w="120" w:type="dxa"/>
              <w:bottom w:w="120" w:type="dxa"/>
              <w:left w:w="150" w:type="dxa"/>
              <w:right w:w="150" w:type="dxa"/>
            </w:tcMar>
          </w:tcPr>
          <w:p>
            <w:pPr>
              <w:spacing w:before="0" w:after="0" w:line="252" w:lineRule="auto"/>
            </w:pPr>
            <w:r>
              <w:rPr>
                <w:rFonts w:ascii="Consolas" w:hAnsi="Consolas"/>
                <w:color w:val="1E293B"/>
                <w:sz w:val="17"/>
              </w:rPr>
              <w:t># ==============================================================================</w:t>
              <w:br/>
              <w:t># PULSE CORE: Contextual Plan Analyzer &amp; A/B Benchmarker</w:t>
              <w:br/>
              <w:t># backend/app/services/optimizer.py</w:t>
              <w:br/>
              <w:t># ==============================================================================</w:t>
              <w:br/>
              <w:t>def analyze_and_optimize(sql_query: str, execution_result: Dict[str, Any]) -&gt; Dict[str, Any]:</w:t>
              <w:br/>
              <w:t xml:space="preserve">    recommendations = []</w:t>
              <w:br/>
              <w:t xml:space="preserve">    plan_tree = execution_result.get("execution_plan_tree", {})</w:t>
              <w:br/>
              <w:t xml:space="preserve">    ast_info = execution_result.get("ast_info", {})</w:t>
              <w:br/>
              <w:t xml:space="preserve">    flat_nodes = flatten_plan_nodes(plan_tree) if plan_tree else []</w:t>
              <w:br/>
              <w:br/>
              <w:t xml:space="preserve">    # 1. Contextual Sequential Scan Analysis</w:t>
              <w:br/>
              <w:t xml:space="preserve">    for node in flat_nodes:</w:t>
              <w:br/>
              <w:t xml:space="preserve">        if node["node_type"] == "Seq Scan":</w:t>
              <w:br/>
              <w:t xml:space="preserve">            rel_name = node.get("relation_name", "")</w:t>
              <w:br/>
              <w:t xml:space="preserve">            filter_cond = node.get("filter", "")</w:t>
              <w:br/>
              <w:t xml:space="preserve">            actual_rows = node.get("actual_rows", 0)</w:t>
              <w:br/>
              <w:t xml:space="preserve">            node_cost = node.get("total_cost", 0.0)</w:t>
              <w:br/>
              <w:t xml:space="preserve">            </w:t>
              <w:br/>
              <w:t xml:space="preserve">            if actual_rows &lt; 50 and node_cost &lt; 10.0:</w:t>
              <w:br/>
              <w:t xml:space="preserve">                continue</w:t>
              <w:br/>
              <w:br/>
              <w:t xml:space="preserve">            cols_found = extract_filter_columns(filter_cond)</w:t>
              <w:br/>
              <w:t xml:space="preserve">            if cols_found:</w:t>
              <w:br/>
              <w:t xml:space="preserve">                col_str = ", ".join(cols_found)</w:t>
              <w:br/>
              <w:t xml:space="preserve">                idx_name = f"idx_{rel_name}_{'_'.join(cols_found[:2])}"</w:t>
              <w:br/>
              <w:t xml:space="preserve">                ddl = f"CREATE INDEX {idx_name} ON {rel_name} ({col_str});"</w:t>
              <w:br/>
              <w:t xml:space="preserve">                rollback = f"DROP INDEX CONCURRENTLY IF EXISTS {idx_name};"</w:t>
              <w:br/>
              <w:t xml:space="preserve">                recommendations.append({</w:t>
              <w:br/>
              <w:t xml:space="preserve">                    "type": "INDEX_RECOMMENDATION",</w:t>
              <w:br/>
              <w:t xml:space="preserve">                    "severity": "HIGH" if node_cost &gt; 100 else "MEDIUM",</w:t>
              <w:br/>
              <w:t xml:space="preserve">                    "reason": f"Sequential Scan on '{rel_name}' with filter '{filter_cond}'.",</w:t>
              <w:br/>
              <w:t xml:space="preserve">                    "suggested_index_ddl": ddl,</w:t>
              <w:br/>
              <w:t xml:space="preserve">                    "rollback_ddl": rollback</w:t>
              <w:br/>
              <w:t xml:space="preserve">                })</w:t>
              <w:br/>
              <w:t xml:space="preserve">    return {"recommendations": recommendations, "status": "OPTIMIZATION_SUGGESTED"}</w:t>
            </w:r>
          </w:p>
        </w:tc>
      </w:tr>
    </w:tbl>
    <w:p>
      <w:pPr>
        <w:spacing w:before="0" w:after="80"/>
      </w:pPr>
    </w:p>
    <w:p>
      <w:pPr>
        <w:spacing w:before="120" w:after="40"/>
      </w:pPr>
      <w:r>
        <w:rPr>
          <w:rFonts w:ascii="Courier New" w:hAnsi="Courier New"/>
          <w:b/>
          <w:color w:val="0E7490"/>
          <w:sz w:val="19"/>
        </w:rPr>
        <w:t>Listing D.3: 3-Model Machine Learning Engine (ml_service.py)</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CBD5E1"/>
          <w:insideV w:val="none"/>
          <w:left w:val="none"/>
          <w:right w:val="none"/>
        </w:tblBorders>
      </w:tblPr>
      <w:tblGrid>
        <w:gridCol w:w="9360"/>
      </w:tblGrid>
      <w:tr>
        <w:tc>
          <w:tcPr>
            <w:tcW w:type="dxa" w:w="9360"/>
            <w:shd w:fill="F1F5F9"/>
            <w:tcMar>
              <w:top w:w="120" w:type="dxa"/>
              <w:bottom w:w="120" w:type="dxa"/>
              <w:left w:w="150" w:type="dxa"/>
              <w:right w:w="150" w:type="dxa"/>
            </w:tcMar>
          </w:tcPr>
          <w:p>
            <w:pPr>
              <w:spacing w:before="0" w:after="0" w:line="252" w:lineRule="auto"/>
            </w:pPr>
            <w:r>
              <w:rPr>
                <w:rFonts w:ascii="Consolas" w:hAnsi="Consolas"/>
                <w:color w:val="1E293B"/>
                <w:sz w:val="17"/>
              </w:rPr>
              <w:t># ==============================================================================</w:t>
              <w:br/>
              <w:t># PULSE CORE: 3-Model Predictive ML Clinical Pipeline</w:t>
              <w:br/>
              <w:t># backend/app/services/ml_service.py</w:t>
              <w:br/>
              <w:t># ==============================================================================</w:t>
              <w:br/>
              <w:t>class HealthcarePredictiveEngine:</w:t>
              <w:br/>
              <w:t xml:space="preserve">    def __init__(self):</w:t>
              <w:br/>
              <w:t xml:space="preserve">        self.log_reg_model = LogisticRegression(random_state=42, max_iter=500)</w:t>
              <w:br/>
              <w:t xml:space="preserve">        self.rf_model = RandomForestClassifier(n_estimators=100, max_depth=8, random_state=42)</w:t>
              <w:br/>
              <w:t xml:space="preserve">        self.xgb_model = xgb.XGBClassifier(n_estimators=100, max_depth=5, learning_rate=0.08, eval_metric="logloss")</w:t>
              <w:br/>
              <w:t xml:space="preserve">        self.scaler = StandardScaler()</w:t>
              <w:br/>
              <w:t xml:space="preserve">        self._train_and_evaluate_three_models()</w:t>
              <w:br/>
              <w:br/>
              <w:t xml:space="preserve">    def predict_patient_readmission_risk(self, patient_features: List[float]) -&gt; Dict[str, Any]:</w:t>
              <w:br/>
              <w:t xml:space="preserve">        X_scaled = self.scaler.transform([patient_features])</w:t>
              <w:br/>
              <w:t xml:space="preserve">        prob_xgb = float(self.xgb_model.predict_proba(X_scaled)[0][1])</w:t>
              <w:br/>
              <w:t xml:space="preserve">        prob_rf = float(self.rf_model.predict_proba(X_scaled)[0][1])</w:t>
              <w:br/>
              <w:t xml:space="preserve">        prob_lr = float(self.log_reg_model.predict_proba(X_scaled)[0][1])</w:t>
              <w:br/>
              <w:br/>
              <w:t xml:space="preserve">        risk_score = round(prob_xgb * 100, 1)</w:t>
              <w:br/>
              <w:t xml:space="preserve">        risk_level = "CRITICAL" if risk_score &gt;= 75 else ("HIGH" if risk_score &gt;= 50 else "LOW")</w:t>
              <w:br/>
              <w:t xml:space="preserve">        return {</w:t>
              <w:br/>
              <w:t xml:space="preserve">            "risk_score": risk_score,</w:t>
              <w:br/>
              <w:t xml:space="preserve">            "risk_level": risk_level,</w:t>
              <w:br/>
              <w:t xml:space="preserve">            "model_probabilities": {"xgboost": prob_xgb, "random_forest": prob_rf, "logistic_regression": prob_lr}</w:t>
              <w:br/>
              <w:t xml:space="preserve">        }</w:t>
            </w:r>
          </w:p>
        </w:tc>
      </w:tr>
    </w:tbl>
    <w:p>
      <w:pPr>
        <w:spacing w:before="0" w:after="8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