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p>
      <w:pPr>
        <w:spacing w:before="0" w:after="160"/>
        <w:jc w:val="center"/>
      </w:pPr>
      <w:r>
        <w:rPr>
          <w:rFonts w:ascii="Arial" w:cs="Arial" w:eastAsia="Arial" w:hAnsi="Arial"/>
          <w:sz w:val="100"/>
          <w:szCs w:val="100"/>
        </w:rPr>
        <w:t xml:space="preserve">⚖</w:t>
      </w:r>
    </w:p>
    <w:p>
      <w:pPr>
        <w:spacing w:before="0" w:after="120"/>
        <w:jc w:val="center"/>
      </w:pPr>
      <w:r>
        <w:rPr>
          <w:rFonts w:ascii="Arial" w:cs="Arial" w:eastAsia="Arial" w:hAnsi="Arial"/>
          <w:b/>
          <w:bCs/>
          <w:color w:val="1a3a6b"/>
          <w:sz w:val="72"/>
          <w:szCs w:val="72"/>
        </w:rPr>
        <w:t xml:space="preserve">ClearCase</w:t>
      </w:r>
    </w:p>
    <w:p>
      <w:pPr>
        <w:spacing w:before="0" w:after="400"/>
        <w:jc w:val="center"/>
      </w:pPr>
      <w:r>
        <w:rPr>
          <w:rFonts w:ascii="Arial" w:cs="Arial" w:eastAsia="Arial" w:hAnsi="Arial"/>
          <w:color w:val="4B5563"/>
          <w:sz w:val="28"/>
          <w:szCs w:val="28"/>
        </w:rPr>
        <w:t xml:space="preserve">Especificación Detallada de Módulos y Requerimientos</w:t>
      </w:r>
    </w:p>
    <w:p>
      <w:pPr>
        <w:pBdr>
          <w:top w:val="single" w:color="2563EB" w:sz="4" w:space="1"/>
          <w:bottom w:val="single" w:color="2563EB" w:sz="4" w:space="1"/>
        </w:pBdr>
        <w:spacing w:before="200" w:after="200"/>
        <w:jc w:val="center"/>
      </w:pPr>
      <w:r>
        <w:rPr>
          <w:rFonts w:ascii="Arial" w:cs="Arial" w:eastAsia="Arial" w:hAnsi="Arial"/>
          <w:b/>
          <w:bCs/>
          <w:color w:val="1a3a6b"/>
          <w:sz w:val="24"/>
          <w:szCs w:val="24"/>
        </w:rPr>
        <w:t xml:space="preserve">Documento para Revisión y Validación con el Cliente</w:t>
      </w:r>
    </w:p>
    <w:p>
      <w:pPr>
        <w:spacing w:before="400" w:after="100"/>
        <w:jc w:val="center"/>
      </w:pPr>
      <w:r>
        <w:rPr>
          <w:rFonts w:ascii="Arial" w:cs="Arial" w:eastAsia="Arial" w:hAnsi="Arial"/>
          <w:color w:val="374151"/>
          <w:sz w:val="22"/>
          <w:szCs w:val="22"/>
        </w:rPr>
        <w:t xml:space="preserve">Despacho: García y Gallegos</w:t>
      </w:r>
    </w:p>
    <w:p>
      <w:pPr>
        <w:spacing w:before="80" w:after="100"/>
        <w:jc w:val="center"/>
      </w:pPr>
      <w:r>
        <w:rPr>
          <w:rFonts w:ascii="Arial" w:cs="Arial" w:eastAsia="Arial" w:hAnsi="Arial"/>
          <w:color w:val="374151"/>
          <w:sz w:val="22"/>
          <w:szCs w:val="22"/>
        </w:rPr>
        <w:t xml:space="preserve">Desarrollador: Manuel Alejandro Vázquez Hernández</w:t>
      </w:r>
    </w:p>
    <w:p>
      <w:pPr>
        <w:spacing w:before="80" w:after="100"/>
        <w:jc w:val="center"/>
      </w:pPr>
      <w:r>
        <w:rPr>
          <w:rFonts w:ascii="Arial" w:cs="Arial" w:eastAsia="Arial" w:hAnsi="Arial"/>
          <w:color w:val="6B7280"/>
          <w:sz w:val="22"/>
          <w:szCs w:val="22"/>
        </w:rPr>
        <w:t xml:space="preserve">Versión 1.0  |  Marzo 2026</w:t>
      </w:r>
    </w:p>
    <w:p>
      <w:r>
        <w:br w:type="page"/>
      </w:r>
    </w:p>
    <w:p>
      <w:pPr>
        <w:pStyle w:val="Heading1"/>
        <w:pBdr>
          <w:bottom w:val="single" w:color="2563EB" w:sz="6" w:space="1"/>
        </w:pBdr>
        <w:spacing w:before="400" w:after="200"/>
      </w:pPr>
      <w:r>
        <w:rPr>
          <w:rFonts w:ascii="Arial" w:cs="Arial" w:eastAsia="Arial" w:hAnsi="Arial"/>
          <w:b/>
          <w:bCs/>
          <w:color w:val="1a3a6b"/>
          <w:sz w:val="32"/>
          <w:szCs w:val="32"/>
        </w:rPr>
        <w:t xml:space="preserve">Instrucciones de Lectura</w:t>
      </w:r>
    </w:p>
    <w:p>
      <w:pPr>
        <w:spacing w:before="80" w:after="80"/>
      </w:pPr>
      <w:r>
        <w:rPr>
          <w:rFonts w:ascii="Arial" w:cs="Arial" w:eastAsia="Arial" w:hAnsi="Arial"/>
          <w:color w:val="1F2937"/>
          <w:sz w:val="22"/>
          <w:szCs w:val="22"/>
        </w:rPr>
        <w:t xml:space="preserve">Este documento describe en detalle cada módulo del sistema ClearCase. Su propósito es que el despacho García y Gallegos pueda revisar, confirmar o solicitar ajustes a cada funcionalidad antes de iniciar el desarrollo.</w:t>
      </w:r>
    </w:p>
    <w:p>
      <w:pPr>
        <w:spacing w:before="60" w:after="60"/>
      </w:pPr>
      <w:r>
        <w:t xml:space="preserve"/>
      </w:r>
    </w:p>
    <w:p>
      <w:pPr>
        <w:spacing w:before="80" w:after="80"/>
      </w:pPr>
      <w:r>
        <w:rPr>
          <w:rFonts w:ascii="Arial" w:cs="Arial" w:eastAsia="Arial" w:hAnsi="Arial"/>
          <w:color w:val="1F2937"/>
          <w:sz w:val="22"/>
          <w:szCs w:val="22"/>
        </w:rPr>
        <w:t xml:space="preserve">Por cada módulo se especifica:</w:t>
      </w:r>
    </w:p>
    <w:p>
      <w:pPr>
        <w:pStyle w:val="ListParagraph"/>
        <w:numPr>
          <w:ilvl w:val="0"/>
          <w:numId w:val="2"/>
        </w:numPr>
        <w:spacing w:before="60" w:after="60"/>
      </w:pPr>
      <w:r>
        <w:rPr>
          <w:rFonts w:ascii="Arial" w:cs="Arial" w:eastAsia="Arial" w:hAnsi="Arial"/>
          <w:b w:val="false"/>
          <w:bCs w:val="false"/>
          <w:color w:val="1F2937"/>
          <w:sz w:val="22"/>
          <w:szCs w:val="22"/>
        </w:rPr>
        <w:t xml:space="preserve">Descripción — qué hace el módulo y para qué sirve</w:t>
      </w:r>
    </w:p>
    <w:p>
      <w:pPr>
        <w:pStyle w:val="ListParagraph"/>
        <w:numPr>
          <w:ilvl w:val="0"/>
          <w:numId w:val="2"/>
        </w:numPr>
        <w:spacing w:before="60" w:after="60"/>
      </w:pPr>
      <w:r>
        <w:rPr>
          <w:rFonts w:ascii="Arial" w:cs="Arial" w:eastAsia="Arial" w:hAnsi="Arial"/>
          <w:b w:val="false"/>
          <w:bCs w:val="false"/>
          <w:color w:val="1F2937"/>
          <w:sz w:val="22"/>
          <w:szCs w:val="22"/>
        </w:rPr>
        <w:t xml:space="preserve">Actor(es) — quién usa ese módulo</w:t>
      </w:r>
    </w:p>
    <w:p>
      <w:pPr>
        <w:pStyle w:val="ListParagraph"/>
        <w:numPr>
          <w:ilvl w:val="0"/>
          <w:numId w:val="2"/>
        </w:numPr>
        <w:spacing w:before="60" w:after="60"/>
      </w:pPr>
      <w:r>
        <w:rPr>
          <w:rFonts w:ascii="Arial" w:cs="Arial" w:eastAsia="Arial" w:hAnsi="Arial"/>
          <w:b w:val="false"/>
          <w:bCs w:val="false"/>
          <w:color w:val="1F2937"/>
          <w:sz w:val="22"/>
          <w:szCs w:val="22"/>
        </w:rPr>
        <w:t xml:space="preserve">Requerimientos — qué debe poder hacer el sistema</w:t>
      </w:r>
    </w:p>
    <w:p>
      <w:pPr>
        <w:pStyle w:val="ListParagraph"/>
        <w:numPr>
          <w:ilvl w:val="0"/>
          <w:numId w:val="2"/>
        </w:numPr>
        <w:spacing w:before="60" w:after="60"/>
      </w:pPr>
      <w:r>
        <w:rPr>
          <w:rFonts w:ascii="Arial" w:cs="Arial" w:eastAsia="Arial" w:hAnsi="Arial"/>
          <w:b w:val="false"/>
          <w:bCs w:val="false"/>
          <w:color w:val="1F2937"/>
          <w:sz w:val="22"/>
          <w:szCs w:val="22"/>
        </w:rPr>
        <w:t xml:space="preserve">Flujo principal — cómo funciona paso a paso</w:t>
      </w:r>
    </w:p>
    <w:p>
      <w:pPr>
        <w:pStyle w:val="ListParagraph"/>
        <w:numPr>
          <w:ilvl w:val="0"/>
          <w:numId w:val="2"/>
        </w:numPr>
        <w:spacing w:before="60" w:after="60"/>
      </w:pPr>
      <w:r>
        <w:rPr>
          <w:rFonts w:ascii="Arial" w:cs="Arial" w:eastAsia="Arial" w:hAnsi="Arial"/>
          <w:b w:val="false"/>
          <w:bCs w:val="false"/>
          <w:color w:val="1F2937"/>
          <w:sz w:val="22"/>
          <w:szCs w:val="22"/>
        </w:rPr>
        <w:t xml:space="preserve">Reglas de negocio — restricciones y condiciones importantes</w:t>
      </w:r>
    </w:p>
    <w:p>
      <w:pPr>
        <w:spacing w:before="60" w:after="60"/>
      </w:pPr>
      <w:r>
        <w:t xml:space="preserve"/>
      </w:r>
    </w:p>
    <w:p>
      <w:pPr>
        <w:spacing w:before="80" w:after="80"/>
      </w:pPr>
      <w:r>
        <w:rPr>
          <w:rFonts w:ascii="Arial" w:cs="Arial" w:eastAsia="Arial" w:hAnsi="Arial"/>
          <w:i/>
          <w:iCs/>
          <w:color w:val="6B7280"/>
          <w:sz w:val="22"/>
          <w:szCs w:val="22"/>
        </w:rPr>
        <w:t xml:space="preserve">Al final del documento encontrará una sección de observaciones donde puede anotar cambios, dudas o confirmaciones por módulo.</w:t>
      </w:r>
    </w:p>
    <w:p>
      <w:r>
        <w:br w:type="page"/>
      </w:r>
    </w:p>
    <w:p>
      <w:pPr>
        <w:pStyle w:val="Heading1"/>
        <w:pBdr>
          <w:bottom w:val="single" w:color="2563EB" w:sz="6" w:space="1"/>
        </w:pBdr>
        <w:spacing w:before="400" w:after="200"/>
      </w:pPr>
      <w:r>
        <w:rPr>
          <w:rFonts w:ascii="Arial" w:cs="Arial" w:eastAsia="Arial" w:hAnsi="Arial"/>
          <w:b/>
          <w:bCs/>
          <w:color w:val="1a3a6b"/>
          <w:sz w:val="32"/>
          <w:szCs w:val="32"/>
        </w:rPr>
        <w:t xml:space="preserve">Módulo 1 — Gestión de Expedientes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BD5E1" w:sz="1"/>
              <w:left w:val="single" w:color="CBD5E1" w:sz="1"/>
              <w:bottom w:val="single" w:color="CBD5E1" w:sz="1"/>
              <w:right w:val="single" w:color="CBD5E1" w:sz="1"/>
            </w:tcBorders>
            <w:shd w:fill="1a3a6b" w:val="clear"/>
            <w:tcMar>
              <w:top w:type="dxa" w:w="120"/>
              <w:left w:type="dxa" w:w="200"/>
              <w:bottom w:type="dxa" w:w="120"/>
              <w:right w:type="dxa" w:w="200"/>
            </w:tcMar>
          </w:tcPr>
          <w:p>
            <w:r>
              <w:rPr>
                <w:rFonts w:ascii="Arial" w:cs="Arial" w:eastAsia="Arial" w:hAnsi="Arial"/>
                <w:b/>
                <w:bCs/>
                <w:color w:val="93C5FD"/>
                <w:sz w:val="26"/>
                <w:szCs w:val="26"/>
              </w:rPr>
              <w:t xml:space="preserve">MOD-01  </w:t>
            </w:r>
            <w:r>
              <w:rPr>
                <w:rFonts w:ascii="Arial" w:cs="Arial" w:eastAsia="Arial" w:hAnsi="Arial"/>
                <w:b/>
                <w:bCs/>
                <w:color w:val="FFFFFF"/>
                <w:sz w:val="26"/>
                <w:szCs w:val="26"/>
              </w:rPr>
              <w:t xml:space="preserve">Gestión de Expedientes</w:t>
            </w:r>
            <w:r>
              <w:rPr>
                <w:rFonts w:ascii="Arial" w:cs="Arial" w:eastAsia="Arial" w:hAnsi="Arial"/>
                <w:color w:val="86EFAC"/>
                <w:sz w:val="20"/>
                <w:szCs w:val="20"/>
              </w:rPr>
              <w:t xml:space="preserve">     [undefined]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Descripción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Núcleo del sistema. Permite crear, organizar y dar seguimiento a todos los casos del despacho de forma digital, reemplazando completamente el uso de carpetas y cajas físicas.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Actor(es)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F2937"/>
                <w:sz w:val="20"/>
                <w:szCs w:val="20"/>
              </w:rPr>
              <w:t xml:space="preserve">Abogado titular, Abogado con permiso, Asistente (solo lectura)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Requerimientos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Crear expediente con datos del cliente y tipo de caso · Asignar abogado titular y colaboradores · Actualizar etapas del caso (Apertura → En proceso → Audiencia → Resolución → Cierre) · Agregar descripción de avance en cada etapa · Buscar expedientes por cliente, número, tipo o abogado · Filtrar por estado: Activo, Urgente, Por cerrar, Cerrado · Archivar expedientes cerrados conservando toda su información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Flujo principal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F2937"/>
                <w:sz w:val="20"/>
                <w:szCs w:val="20"/>
              </w:rPr>
              <w:t xml:space="preserve">1. El abogado titular crea el expediente con los datos del cliente · 2. El sistema genera automáticamente un número de expediente (EXP-AÑO-CONSECUTIVO) · 3. El titular asigna la etapa inicial y agrega una descripción · 4. Conforme avanza el caso, el titular actualiza la etapa y la descripción · 5. Cada cambio queda registrado en el historial con fecha, hora y usuario · 6. Al concluir, el titular cierra el expediente y el sistema lo archiva automáticamente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Reglas de negocio</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Solo el abogado titular puede cambiar la etapa del caso · Cualquier cambio en el expediente queda registrado de forma permanente, sin posibilidad de borrado · El número de expediente es generado automáticamente y no puede modificarse · Un expediente cerrado no puede reabrirse sin autorización del Administrador · Las descripciones de avance son visibles para el cliente en LegalHub solo si el titular lo marca como 'visible'</w:t>
            </w:r>
          </w:p>
        </w:tc>
      </w:tr>
    </w:tbl>
    <w:p>
      <w:pPr>
        <w:spacing w:before="60" w:after="60"/>
      </w:pPr>
      <w:r>
        <w:t xml:space="preserve"/>
      </w:r>
    </w:p>
    <w:p>
      <w:r>
        <w:br w:type="page"/>
      </w:r>
    </w:p>
    <w:p>
      <w:pPr>
        <w:pStyle w:val="Heading1"/>
        <w:pBdr>
          <w:bottom w:val="single" w:color="2563EB" w:sz="6" w:space="1"/>
        </w:pBdr>
        <w:spacing w:before="400" w:after="200"/>
      </w:pPr>
      <w:r>
        <w:rPr>
          <w:rFonts w:ascii="Arial" w:cs="Arial" w:eastAsia="Arial" w:hAnsi="Arial"/>
          <w:b/>
          <w:bCs/>
          <w:color w:val="1a3a6b"/>
          <w:sz w:val="32"/>
          <w:szCs w:val="32"/>
        </w:rPr>
        <w:t xml:space="preserve">Módulo 2 — Gestión Documental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BD5E1" w:sz="1"/>
              <w:left w:val="single" w:color="CBD5E1" w:sz="1"/>
              <w:bottom w:val="single" w:color="CBD5E1" w:sz="1"/>
              <w:right w:val="single" w:color="CBD5E1" w:sz="1"/>
            </w:tcBorders>
            <w:shd w:fill="1a3a6b" w:val="clear"/>
            <w:tcMar>
              <w:top w:type="dxa" w:w="120"/>
              <w:left w:type="dxa" w:w="200"/>
              <w:bottom w:type="dxa" w:w="120"/>
              <w:right w:type="dxa" w:w="200"/>
            </w:tcMar>
          </w:tcPr>
          <w:p>
            <w:r>
              <w:rPr>
                <w:rFonts w:ascii="Arial" w:cs="Arial" w:eastAsia="Arial" w:hAnsi="Arial"/>
                <w:b/>
                <w:bCs/>
                <w:color w:val="93C5FD"/>
                <w:sz w:val="26"/>
                <w:szCs w:val="26"/>
              </w:rPr>
              <w:t xml:space="preserve">MOD-02  </w:t>
            </w:r>
            <w:r>
              <w:rPr>
                <w:rFonts w:ascii="Arial" w:cs="Arial" w:eastAsia="Arial" w:hAnsi="Arial"/>
                <w:b/>
                <w:bCs/>
                <w:color w:val="FFFFFF"/>
                <w:sz w:val="26"/>
                <w:szCs w:val="26"/>
              </w:rPr>
              <w:t xml:space="preserve">Gestión Documental</w:t>
            </w:r>
            <w:r>
              <w:rPr>
                <w:rFonts w:ascii="Arial" w:cs="Arial" w:eastAsia="Arial" w:hAnsi="Arial"/>
                <w:color w:val="86EFAC"/>
                <w:sz w:val="20"/>
                <w:szCs w:val="20"/>
              </w:rPr>
              <w:t xml:space="preserve">     [undefined]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Descripción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Almacén digital de todos los documentos del despacho. Reemplaza las cajas de archivos físicos. Permite subir, organizar, versionar y editar documentos directamente desde Microsoft Word, manteniendo un historial completo de cambios.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Actor(es)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F2937"/>
                <w:sz w:val="20"/>
                <w:szCs w:val="20"/>
              </w:rPr>
              <w:t xml:space="preserve">Abogado titular, Abogados con permiso (subir), Asistente (subir), Recepción (subir identificaciones)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Requerimientos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Subir documentos al expediente correspondiente · Clasificar documentos por tipo: Demanda, Contrato, Acta, Escrito, Identificación, Sentencia, Otro · Filtrar documentos por estado: Verificado, Pendiente revisión, Falta firma, Rechazado · Abrir documentos Word directamente desde el sistema para edición · Guardar cambios automáticamente con control de versiones · Ver historial de versiones de cada documento · Descargar documentos en su formato original · Verificar o rechazar documentos (solo titular)</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Flujo principal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F2937"/>
                <w:sz w:val="20"/>
                <w:szCs w:val="20"/>
              </w:rPr>
              <w:t xml:space="preserve">1. El usuario sube el documento al expediente correspondiente · 2. El sistema lo registra como 'Pendiente revisión' automáticamente · 3. El titular recibe una notificación de nuevo documento · 4. El titular revisa el documento y lo marca como 'Verificado', 'Falta firma' o 'Rechazado' · 5. Si el documento necesita edición: el usuario hace clic en 'Editar', el archivo se abre en Word de escritorio · 6. Al guardar en Word, el sistema detecta los cambios y crea una nueva versión automáticamente · 7. El usuario solo ve la versión más reciente; el historial es accesible mediante 'Ver versiones anteriores'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Reglas de negocio</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Solo el abogado titular puede verificar o rechazar documentos · Todo documento subido queda como 'Pendiente revisión' hasta ser revisado por el titular · Ningún documento puede eliminarse permanentemente; solo archivarse · El control de versiones es automático: cada guardado desde Word genera una nueva versión con fecha, hora y autor · La versión más antigua de un documento nunca puede eliminarse (valor legal) · Los documentos verificados solo pueden ser modificados por el titular · La integración con Word requiere Microsoft 365</w:t>
            </w:r>
          </w:p>
        </w:tc>
      </w:tr>
    </w:tbl>
    <w:p>
      <w:pPr>
        <w:spacing w:before="60" w:after="60"/>
      </w:pPr>
      <w:r>
        <w:t xml:space="preserve"/>
      </w:r>
    </w:p>
    <w:p>
      <w:r>
        <w:br w:type="page"/>
      </w:r>
    </w:p>
    <w:p>
      <w:pPr>
        <w:pStyle w:val="Heading1"/>
        <w:pBdr>
          <w:bottom w:val="single" w:color="2563EB" w:sz="6" w:space="1"/>
        </w:pBdr>
        <w:spacing w:before="400" w:after="200"/>
      </w:pPr>
      <w:r>
        <w:rPr>
          <w:rFonts w:ascii="Arial" w:cs="Arial" w:eastAsia="Arial" w:hAnsi="Arial"/>
          <w:b/>
          <w:bCs/>
          <w:color w:val="1a3a6b"/>
          <w:sz w:val="32"/>
          <w:szCs w:val="32"/>
        </w:rPr>
        <w:t xml:space="preserve">Módulo 3 — Gestión de Clientes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BD5E1" w:sz="1"/>
              <w:left w:val="single" w:color="CBD5E1" w:sz="1"/>
              <w:bottom w:val="single" w:color="CBD5E1" w:sz="1"/>
              <w:right w:val="single" w:color="CBD5E1" w:sz="1"/>
            </w:tcBorders>
            <w:shd w:fill="1a3a6b" w:val="clear"/>
            <w:tcMar>
              <w:top w:type="dxa" w:w="120"/>
              <w:left w:type="dxa" w:w="200"/>
              <w:bottom w:type="dxa" w:w="120"/>
              <w:right w:type="dxa" w:w="200"/>
            </w:tcMar>
          </w:tcPr>
          <w:p>
            <w:r>
              <w:rPr>
                <w:rFonts w:ascii="Arial" w:cs="Arial" w:eastAsia="Arial" w:hAnsi="Arial"/>
                <w:b/>
                <w:bCs/>
                <w:color w:val="93C5FD"/>
                <w:sz w:val="26"/>
                <w:szCs w:val="26"/>
              </w:rPr>
              <w:t xml:space="preserve">MOD-03  </w:t>
            </w:r>
            <w:r>
              <w:rPr>
                <w:rFonts w:ascii="Arial" w:cs="Arial" w:eastAsia="Arial" w:hAnsi="Arial"/>
                <w:b/>
                <w:bCs/>
                <w:color w:val="FFFFFF"/>
                <w:sz w:val="26"/>
                <w:szCs w:val="26"/>
              </w:rPr>
              <w:t xml:space="preserve">Gestión de Clientes</w:t>
            </w:r>
            <w:r>
              <w:rPr>
                <w:rFonts w:ascii="Arial" w:cs="Arial" w:eastAsia="Arial" w:hAnsi="Arial"/>
                <w:color w:val="86EFAC"/>
                <w:sz w:val="20"/>
                <w:szCs w:val="20"/>
              </w:rPr>
              <w:t xml:space="preserve">     [undefined]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Descripción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Registro central de todos los clientes del despacho. Concentra su información de contacto, historial de casos y credenciales de acceso al portal LegalHub. Elimina la búsqueda manual de datos en agendas o archivos físicos.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Actor(es)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F2937"/>
                <w:sz w:val="20"/>
                <w:szCs w:val="20"/>
              </w:rPr>
              <w:t xml:space="preserve">Recepción (registro), Abogado (consulta y notas), Administrador (acceso completo)</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Requerimientos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Registrar nuevo cliente con datos completos: nombre, teléfono, correo, RFC, domicilio · Consultar historial completo de casos por cliente · Generar automáticamente usuario y contraseña para el portal LegalHub al abrir un caso · Agregar notas internas visibles solo para el personal del despacho · Buscar clientes por nombre, RFC o número de expediente · Editar datos de contacto del cliente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Flujo principal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F2937"/>
                <w:sz w:val="20"/>
                <w:szCs w:val="20"/>
              </w:rPr>
              <w:t xml:space="preserve">1. La recepción registra al nuevo cliente al llegar por primera vez · 2. El abogado titular abre un expediente y lo vincula al cliente · 3. El sistema genera automáticamente las credenciales de acceso a LegalHub · 4. Las credenciales se envían al cliente por correo electrónico · 5. El cliente puede cambiar su contraseña en su primer acceso · 6. El personal del despacho puede agregar notas internas sobre el cliente en cualquier momento</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Reglas de negocio</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El RFC es opcional pero recomendado para clientes que tramitan asuntos mercantiles · Las credenciales de LegalHub se generan una sola vez por expediente activo · Si el cliente ya tiene un caso anterior, se reutiliza su acceso existente · Las notas internas no son visibles para el cliente bajo ninguna circunstancia · Un cliente no puede ser eliminado del sistema si tiene expedientes activos o archivados</w:t>
            </w:r>
          </w:p>
        </w:tc>
      </w:tr>
    </w:tbl>
    <w:p>
      <w:pPr>
        <w:spacing w:before="60" w:after="60"/>
      </w:pPr>
      <w:r>
        <w:t xml:space="preserve"/>
      </w:r>
    </w:p>
    <w:p>
      <w:r>
        <w:br w:type="page"/>
      </w:r>
    </w:p>
    <w:p>
      <w:pPr>
        <w:pStyle w:val="Heading1"/>
        <w:pBdr>
          <w:bottom w:val="single" w:color="2563EB" w:sz="6" w:space="1"/>
        </w:pBdr>
        <w:spacing w:before="400" w:after="200"/>
      </w:pPr>
      <w:r>
        <w:rPr>
          <w:rFonts w:ascii="Arial" w:cs="Arial" w:eastAsia="Arial" w:hAnsi="Arial"/>
          <w:b/>
          <w:bCs/>
          <w:color w:val="1a3a6b"/>
          <w:sz w:val="32"/>
          <w:szCs w:val="32"/>
        </w:rPr>
        <w:t xml:space="preserve">Módulo 4 — Control de Usuarios y Roles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BD5E1" w:sz="1"/>
              <w:left w:val="single" w:color="CBD5E1" w:sz="1"/>
              <w:bottom w:val="single" w:color="CBD5E1" w:sz="1"/>
              <w:right w:val="single" w:color="CBD5E1" w:sz="1"/>
            </w:tcBorders>
            <w:shd w:fill="1a3a6b" w:val="clear"/>
            <w:tcMar>
              <w:top w:type="dxa" w:w="120"/>
              <w:left w:type="dxa" w:w="200"/>
              <w:bottom w:type="dxa" w:w="120"/>
              <w:right w:type="dxa" w:w="200"/>
            </w:tcMar>
          </w:tcPr>
          <w:p>
            <w:r>
              <w:rPr>
                <w:rFonts w:ascii="Arial" w:cs="Arial" w:eastAsia="Arial" w:hAnsi="Arial"/>
                <w:b/>
                <w:bCs/>
                <w:color w:val="93C5FD"/>
                <w:sz w:val="26"/>
                <w:szCs w:val="26"/>
              </w:rPr>
              <w:t xml:space="preserve">MOD-04  </w:t>
            </w:r>
            <w:r>
              <w:rPr>
                <w:rFonts w:ascii="Arial" w:cs="Arial" w:eastAsia="Arial" w:hAnsi="Arial"/>
                <w:b/>
                <w:bCs/>
                <w:color w:val="FFFFFF"/>
                <w:sz w:val="26"/>
                <w:szCs w:val="26"/>
              </w:rPr>
              <w:t xml:space="preserve">Control de Usuarios y Roles</w:t>
            </w:r>
            <w:r>
              <w:rPr>
                <w:rFonts w:ascii="Arial" w:cs="Arial" w:eastAsia="Arial" w:hAnsi="Arial"/>
                <w:color w:val="86EFAC"/>
                <w:sz w:val="20"/>
                <w:szCs w:val="20"/>
              </w:rPr>
              <w:t xml:space="preserve">     [undefined]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Descripción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Administra quién puede acceder al sistema y qué puede hacer dentro de él. Define cuatro roles con permisos específicos para garantizar que cada persona solo vea y modifique lo que le corresponde.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Actor(es)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F2937"/>
                <w:sz w:val="20"/>
                <w:szCs w:val="20"/>
              </w:rPr>
              <w:t xml:space="preserve">Administrador (gestión completa), todos los usuarios (su propio perfil)</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Requerimientos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Crear, editar y desactivar usuarios del despacho · Asignar roles: Administrador, Abogado, Asistente, Recepción · Configurar permisos por módulo: Ver, Crear, Editar, Eliminar · Restablecer contraseñas de cualquier usuario · Consultar registro de sesiones: quién entró, cuándo y desde qué dispositivo · Ver bitácora de actividad por usuario</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Flujo principal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F2937"/>
                <w:sz w:val="20"/>
                <w:szCs w:val="20"/>
              </w:rPr>
              <w:t xml:space="preserve">1. El Administrador crea un nuevo usuario con nombre, correo y rol · 2. El sistema envía las credenciales por correo al nuevo usuario · 3. En el primer acceso, el usuario debe cambiar su contraseña · 4. El Administrador puede ajustar permisos en cualquier momento · 5. Si un empleado sale del despacho, el Administrador desactiva su cuenta (no se elimina para conservar la bitácora)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Reglas de negocio</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Solo el Administrador puede crear, editar o desactivar usuarios · Los roles tienen permisos predeterminados pero el Administrador puede personalizarlos · Una cuenta desactivada no puede iniciar sesión pero su historial se conserva · El Administrador no puede desactivar su propia cuenta · Se registrará cada inicio de sesión con IP y dispositivo como medida de seguridad legal</w:t>
            </w:r>
          </w:p>
        </w:tc>
      </w:tr>
    </w:tbl>
    <w:p>
      <w:pPr>
        <w:spacing w:before="60" w:after="60"/>
      </w:pPr>
      <w:r>
        <w:t xml:space="preserve"/>
      </w:r>
    </w:p>
    <w:p>
      <w:pPr>
        <w:spacing w:before="200" w:after="100"/>
      </w:pPr>
      <w:r>
        <w:rPr>
          <w:rFonts w:ascii="Arial" w:cs="Arial" w:eastAsia="Arial" w:hAnsi="Arial"/>
          <w:b/>
          <w:bCs/>
          <w:color w:val="374151"/>
          <w:sz w:val="24"/>
          <w:szCs w:val="24"/>
        </w:rPr>
        <w:t xml:space="preserve">Tabla de permisos por rol (predeterminados)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CBD5E1" w:sz="1"/>
              <w:left w:val="single" w:color="CBD5E1" w:sz="1"/>
              <w:bottom w:val="single" w:color="CBD5E1" w:sz="1"/>
              <w:right w:val="single" w:color="CBD5E1"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1640"/>
            <w:tcBorders>
              <w:top w:val="single" w:color="CBD5E1" w:sz="1"/>
              <w:left w:val="single" w:color="CBD5E1" w:sz="1"/>
              <w:bottom w:val="single" w:color="CBD5E1" w:sz="1"/>
              <w:right w:val="single" w:color="CBD5E1"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Administrador</w:t>
            </w:r>
          </w:p>
        </w:tc>
        <w:tc>
          <w:tcPr>
            <w:tcW w:type="dxa" w:w="1640"/>
            <w:tcBorders>
              <w:top w:val="single" w:color="CBD5E1" w:sz="1"/>
              <w:left w:val="single" w:color="CBD5E1" w:sz="1"/>
              <w:bottom w:val="single" w:color="CBD5E1" w:sz="1"/>
              <w:right w:val="single" w:color="CBD5E1"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Abogado</w:t>
            </w:r>
          </w:p>
        </w:tc>
        <w:tc>
          <w:tcPr>
            <w:tcW w:type="dxa" w:w="1640"/>
            <w:tcBorders>
              <w:top w:val="single" w:color="CBD5E1" w:sz="1"/>
              <w:left w:val="single" w:color="CBD5E1" w:sz="1"/>
              <w:bottom w:val="single" w:color="CBD5E1" w:sz="1"/>
              <w:right w:val="single" w:color="CBD5E1"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Asistente</w:t>
            </w:r>
          </w:p>
        </w:tc>
        <w:tc>
          <w:tcPr>
            <w:tcW w:type="dxa" w:w="1640"/>
            <w:tcBorders>
              <w:top w:val="single" w:color="CBD5E1" w:sz="1"/>
              <w:left w:val="single" w:color="CBD5E1" w:sz="1"/>
              <w:bottom w:val="single" w:color="CBD5E1" w:sz="1"/>
              <w:right w:val="single" w:color="CBD5E1"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Recepción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3a6b"/>
                <w:sz w:val="19"/>
                <w:szCs w:val="19"/>
              </w:rPr>
              <w:t xml:space="preserve">Expedientes</w:t>
            </w:r>
          </w:p>
        </w:tc>
        <w:tc>
          <w:tcPr>
            <w:tcW w:type="dxa" w:w="1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Completo</w:t>
            </w:r>
          </w:p>
        </w:tc>
        <w:tc>
          <w:tcPr>
            <w:tcW w:type="dxa" w:w="1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Sus casos</w:t>
            </w:r>
          </w:p>
        </w:tc>
        <w:tc>
          <w:tcPr>
            <w:tcW w:type="dxa" w:w="1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DC2626"/>
                <w:sz w:val="19"/>
                <w:szCs w:val="19"/>
              </w:rPr>
              <w:t xml:space="preserve">✗ Solo lectura</w:t>
            </w:r>
          </w:p>
        </w:tc>
        <w:tc>
          <w:tcPr>
            <w:tcW w:type="dxa" w:w="1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DC2626"/>
                <w:sz w:val="19"/>
                <w:szCs w:val="19"/>
              </w:rPr>
              <w:t xml:space="preserve">✗ Sin acceso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3a6b"/>
                <w:sz w:val="19"/>
                <w:szCs w:val="19"/>
              </w:rPr>
              <w:t xml:space="preserve">Documentos</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Completo</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Sus casos</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Solo subir</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Solo subir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3a6b"/>
                <w:sz w:val="19"/>
                <w:szCs w:val="19"/>
              </w:rPr>
              <w:t xml:space="preserve">Clientes</w:t>
            </w:r>
          </w:p>
        </w:tc>
        <w:tc>
          <w:tcPr>
            <w:tcW w:type="dxa" w:w="1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Completo</w:t>
            </w:r>
          </w:p>
        </w:tc>
        <w:tc>
          <w:tcPr>
            <w:tcW w:type="dxa" w:w="1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Consulta</w:t>
            </w:r>
          </w:p>
        </w:tc>
        <w:tc>
          <w:tcPr>
            <w:tcW w:type="dxa" w:w="1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Registro</w:t>
            </w:r>
          </w:p>
        </w:tc>
        <w:tc>
          <w:tcPr>
            <w:tcW w:type="dxa" w:w="1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Registro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3a6b"/>
                <w:sz w:val="19"/>
                <w:szCs w:val="19"/>
              </w:rPr>
              <w:t xml:space="preserve">Agenda</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Completo</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Sus eventos</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Ver + crear</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Solo ver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3a6b"/>
                <w:sz w:val="19"/>
                <w:szCs w:val="19"/>
              </w:rPr>
              <w:t xml:space="preserve">Alertas</w:t>
            </w:r>
          </w:p>
        </w:tc>
        <w:tc>
          <w:tcPr>
            <w:tcW w:type="dxa" w:w="1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Completo</w:t>
            </w:r>
          </w:p>
        </w:tc>
        <w:tc>
          <w:tcPr>
            <w:tcW w:type="dxa" w:w="1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Sus alertas</w:t>
            </w:r>
          </w:p>
        </w:tc>
        <w:tc>
          <w:tcPr>
            <w:tcW w:type="dxa" w:w="1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Ver + confirmar</w:t>
            </w:r>
          </w:p>
        </w:tc>
        <w:tc>
          <w:tcPr>
            <w:tcW w:type="dxa" w:w="1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Solo ver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3a6b"/>
                <w:sz w:val="19"/>
                <w:szCs w:val="19"/>
              </w:rPr>
              <w:t xml:space="preserve">Usuarios</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Completo</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19"/>
                <w:szCs w:val="19"/>
              </w:rPr>
              <w:t xml:space="preserve">✗ Sin acceso</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19"/>
                <w:szCs w:val="19"/>
              </w:rPr>
              <w:t xml:space="preserve">✗ Sin acceso</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19"/>
                <w:szCs w:val="19"/>
              </w:rPr>
              <w:t xml:space="preserve">✗ Sin acceso</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3a6b"/>
                <w:sz w:val="19"/>
                <w:szCs w:val="19"/>
              </w:rPr>
              <w:t xml:space="preserve">Reportes</w:t>
            </w:r>
          </w:p>
        </w:tc>
        <w:tc>
          <w:tcPr>
            <w:tcW w:type="dxa" w:w="1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Completo</w:t>
            </w:r>
          </w:p>
        </w:tc>
        <w:tc>
          <w:tcPr>
            <w:tcW w:type="dxa" w:w="1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6A34A"/>
                <w:sz w:val="19"/>
                <w:szCs w:val="19"/>
              </w:rPr>
              <w:t xml:space="preserve">✓ Sus reportes</w:t>
            </w:r>
          </w:p>
        </w:tc>
        <w:tc>
          <w:tcPr>
            <w:tcW w:type="dxa" w:w="1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DC2626"/>
                <w:sz w:val="19"/>
                <w:szCs w:val="19"/>
              </w:rPr>
              <w:t xml:space="preserve">✗ Sin acceso</w:t>
            </w:r>
          </w:p>
        </w:tc>
        <w:tc>
          <w:tcPr>
            <w:tcW w:type="dxa" w:w="1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DC2626"/>
                <w:sz w:val="19"/>
                <w:szCs w:val="19"/>
              </w:rPr>
              <w:t xml:space="preserve">✗ Sin acceso</w:t>
            </w:r>
          </w:p>
        </w:tc>
      </w:tr>
    </w:tbl>
    <w:p>
      <w:pPr>
        <w:spacing w:before="60" w:after="60"/>
      </w:pPr>
      <w:r>
        <w:t xml:space="preserve"/>
      </w:r>
    </w:p>
    <w:p>
      <w:r>
        <w:br w:type="page"/>
      </w:r>
    </w:p>
    <w:p>
      <w:pPr>
        <w:pStyle w:val="Heading1"/>
        <w:pBdr>
          <w:bottom w:val="single" w:color="2563EB" w:sz="6" w:space="1"/>
        </w:pBdr>
        <w:spacing w:before="400" w:after="200"/>
      </w:pPr>
      <w:r>
        <w:rPr>
          <w:rFonts w:ascii="Arial" w:cs="Arial" w:eastAsia="Arial" w:hAnsi="Arial"/>
          <w:b/>
          <w:bCs/>
          <w:color w:val="1a3a6b"/>
          <w:sz w:val="32"/>
          <w:szCs w:val="32"/>
        </w:rPr>
        <w:t xml:space="preserve">Módulo 5 — Agenda y Sistema de Alertas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BD5E1" w:sz="1"/>
              <w:left w:val="single" w:color="CBD5E1" w:sz="1"/>
              <w:bottom w:val="single" w:color="CBD5E1" w:sz="1"/>
              <w:right w:val="single" w:color="CBD5E1" w:sz="1"/>
            </w:tcBorders>
            <w:shd w:fill="1a3a6b" w:val="clear"/>
            <w:tcMar>
              <w:top w:type="dxa" w:w="120"/>
              <w:left w:type="dxa" w:w="200"/>
              <w:bottom w:type="dxa" w:w="120"/>
              <w:right w:type="dxa" w:w="200"/>
            </w:tcMar>
          </w:tcPr>
          <w:p>
            <w:r>
              <w:rPr>
                <w:rFonts w:ascii="Arial" w:cs="Arial" w:eastAsia="Arial" w:hAnsi="Arial"/>
                <w:b/>
                <w:bCs/>
                <w:color w:val="93C5FD"/>
                <w:sz w:val="26"/>
                <w:szCs w:val="26"/>
              </w:rPr>
              <w:t xml:space="preserve">MOD-05  </w:t>
            </w:r>
            <w:r>
              <w:rPr>
                <w:rFonts w:ascii="Arial" w:cs="Arial" w:eastAsia="Arial" w:hAnsi="Arial"/>
                <w:b/>
                <w:bCs/>
                <w:color w:val="FFFFFF"/>
                <w:sz w:val="26"/>
                <w:szCs w:val="26"/>
              </w:rPr>
              <w:t xml:space="preserve">Agenda y Sistema de Alertas</w:t>
            </w:r>
            <w:r>
              <w:rPr>
                <w:rFonts w:ascii="Arial" w:cs="Arial" w:eastAsia="Arial" w:hAnsi="Arial"/>
                <w:color w:val="86EFAC"/>
                <w:sz w:val="20"/>
                <w:szCs w:val="20"/>
              </w:rPr>
              <w:t xml:space="preserve">     [undefined]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Descripción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Resuelve el problema actual de citas y fechas olvidadas. A diferencia de Google Calendar que envía un solo recordatorio fácil de ignorar, ClearCase implementa un sistema de alertas escalonadas que escala en intensidad conforme se acerca la fecha, con alertas críticas que no pueden ignorarse.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Actor(es)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F2937"/>
                <w:sz w:val="20"/>
                <w:szCs w:val="20"/>
              </w:rPr>
              <w:t xml:space="preserve">Todos los usuarios internos del despacho</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Requerimientos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Crear eventos: citas, audiencias, juntas y fechas límite · Vincular cada evento al expediente correspondiente · Clasificar por urgencia: Normal, Importante, Urgente, Crítico · Recibir notificaciones escalonadas automáticas · Confirmar o posponer alertas · Ver calendario semanal y mensual del despacho · Ver todos los eventos del día al iniciar sesión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Flujo principal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F2937"/>
                <w:sz w:val="20"/>
                <w:szCs w:val="20"/>
              </w:rPr>
              <w:t xml:space="preserve">1. El usuario crea un evento y lo vincula a un expediente · 2. El sistema calcula automáticamente las fechas de cada aviso según la urgencia · 3. A 7 días: aparece notificación discreta en el sistema · 4. A 3 días: notificación más visible con color ámbar · 5. A 1 día: notificación urgente en rojo · 6. El mismo día: alerta crítica que aparece en pantalla al iniciar sesión y no desaparece hasta ser confirmada · 7. El usuario confirma la alerta y el sistema registra quién confirmó y a qué hora · 8. Opcionalmente puede posponer la alerta hasta 3 veces en intervalos de 1 hora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Reglas de negocio</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Las alertas del día no se pueden cerrar sin confirmarlas explícitamente · Un evento puede posponerse máximo 3 veces; al tercer posponer la alerta se vuelve permanente · Todos los usuarios con acceso al despacho ven las alertas del día al iniciar sesión · El sistema registra cada confirmación con usuario, fecha y hora · Los cambios en la agenda se reflejan en tiempo real en todos los dispositivos conectados · Las audiencias y fechas límite se marcan automáticamente como Urgente si no han sido confirmadas 24 horas antes</w:t>
            </w:r>
          </w:p>
        </w:tc>
      </w:tr>
    </w:tbl>
    <w:p>
      <w:pPr>
        <w:spacing w:before="60" w:after="60"/>
      </w:pPr>
      <w:r>
        <w:t xml:space="preserve"/>
      </w:r>
    </w:p>
    <w:p>
      <w:r>
        <w:br w:type="page"/>
      </w:r>
    </w:p>
    <w:p>
      <w:pPr>
        <w:pStyle w:val="Heading1"/>
        <w:pBdr>
          <w:bottom w:val="single" w:color="2563EB" w:sz="6" w:space="1"/>
        </w:pBdr>
        <w:spacing w:before="400" w:after="200"/>
      </w:pPr>
      <w:r>
        <w:rPr>
          <w:rFonts w:ascii="Arial" w:cs="Arial" w:eastAsia="Arial" w:hAnsi="Arial"/>
          <w:b/>
          <w:bCs/>
          <w:color w:val="1a3a6b"/>
          <w:sz w:val="32"/>
          <w:szCs w:val="32"/>
        </w:rPr>
        <w:t xml:space="preserve">Módulo 6 — Dashboard y Reportes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BD5E1" w:sz="1"/>
              <w:left w:val="single" w:color="CBD5E1" w:sz="1"/>
              <w:bottom w:val="single" w:color="CBD5E1" w:sz="1"/>
              <w:right w:val="single" w:color="CBD5E1" w:sz="1"/>
            </w:tcBorders>
            <w:shd w:fill="1a3a6b" w:val="clear"/>
            <w:tcMar>
              <w:top w:type="dxa" w:w="120"/>
              <w:left w:type="dxa" w:w="200"/>
              <w:bottom w:type="dxa" w:w="120"/>
              <w:right w:type="dxa" w:w="200"/>
            </w:tcMar>
          </w:tcPr>
          <w:p>
            <w:r>
              <w:rPr>
                <w:rFonts w:ascii="Arial" w:cs="Arial" w:eastAsia="Arial" w:hAnsi="Arial"/>
                <w:b/>
                <w:bCs/>
                <w:color w:val="93C5FD"/>
                <w:sz w:val="26"/>
                <w:szCs w:val="26"/>
              </w:rPr>
              <w:t xml:space="preserve">MOD-06  </w:t>
            </w:r>
            <w:r>
              <w:rPr>
                <w:rFonts w:ascii="Arial" w:cs="Arial" w:eastAsia="Arial" w:hAnsi="Arial"/>
                <w:b/>
                <w:bCs/>
                <w:color w:val="FFFFFF"/>
                <w:sz w:val="26"/>
                <w:szCs w:val="26"/>
              </w:rPr>
              <w:t xml:space="preserve">Dashboard y Reportes</w:t>
            </w:r>
            <w:r>
              <w:rPr>
                <w:rFonts w:ascii="Arial" w:cs="Arial" w:eastAsia="Arial" w:hAnsi="Arial"/>
                <w:color w:val="86EFAC"/>
                <w:sz w:val="20"/>
                <w:szCs w:val="20"/>
              </w:rPr>
              <w:t xml:space="preserve">     [undefined]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Descripción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Panel de control que muestra el estado general del despacho en tiempo real. Es la primera pantalla que ve el usuario al iniciar sesión. Permite tomar decisiones rápidas sin navegar por todo el sistema.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Actor(es)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F2937"/>
                <w:sz w:val="20"/>
                <w:szCs w:val="20"/>
              </w:rPr>
              <w:t xml:space="preserve">Administrador (vista completa), Abogado (vista de sus casos), Asistente y Recepción (vista limitada)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Requerimientos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Ver métricas en tiempo real: casos activos, cerrados del mes, alertas pendientes, documentos digitalizados · Ver feed de actividad reciente del despacho · Ver casos que requieren atención inmediata · Ver distribución de casos por tipo con gráfica · Acceder directamente a un expediente desde el dashboard · Exportar reportes a PDF o Excel</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Flujo principal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F2937"/>
                <w:sz w:val="20"/>
                <w:szCs w:val="20"/>
              </w:rPr>
              <w:t xml:space="preserve">1. El usuario inicia sesión y el dashboard carga automáticamente con datos en tiempo real · 2. Si hay alertas críticas del día, aparecen inmediatamente sobre el dashboard · 3. El usuario puede hacer clic en cualquier caso urgente para ir directo al expediente · 4. Los datos se actualizan automáticamente sin necesidad de recargar la página · 5. El Administrador puede generar un reporte del período que necesite y exportarlo</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Reglas de negocio</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El Administrador ve datos de todos los abogados; el Abogado solo ve sus propios casos · Las métricas se actualizan en tiempo real mediante WebSockets · Los reportes exportados incluyen marca de agua con la fecha de generación y el usuario que los generó · Los reportes son de solo lectura y no pueden modificarse una vez exportados</w:t>
            </w:r>
          </w:p>
        </w:tc>
      </w:tr>
    </w:tbl>
    <w:p>
      <w:pPr>
        <w:spacing w:before="60" w:after="60"/>
      </w:pPr>
      <w:r>
        <w:t xml:space="preserve"/>
      </w:r>
    </w:p>
    <w:p>
      <w:r>
        <w:br w:type="page"/>
      </w:r>
    </w:p>
    <w:p>
      <w:pPr>
        <w:pStyle w:val="Heading1"/>
        <w:pBdr>
          <w:bottom w:val="single" w:color="2563EB" w:sz="6" w:space="1"/>
        </w:pBdr>
        <w:spacing w:before="400" w:after="200"/>
      </w:pPr>
      <w:r>
        <w:rPr>
          <w:rFonts w:ascii="Arial" w:cs="Arial" w:eastAsia="Arial" w:hAnsi="Arial"/>
          <w:b/>
          <w:bCs/>
          <w:color w:val="1a3a6b"/>
          <w:sz w:val="32"/>
          <w:szCs w:val="32"/>
        </w:rPr>
        <w:t xml:space="preserve">Módulo 7 — Portal del Cliente (LegalHub)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BD5E1" w:sz="1"/>
              <w:left w:val="single" w:color="CBD5E1" w:sz="1"/>
              <w:bottom w:val="single" w:color="CBD5E1" w:sz="1"/>
              <w:right w:val="single" w:color="CBD5E1" w:sz="1"/>
            </w:tcBorders>
            <w:shd w:fill="1a3a6b" w:val="clear"/>
            <w:tcMar>
              <w:top w:type="dxa" w:w="120"/>
              <w:left w:type="dxa" w:w="200"/>
              <w:bottom w:type="dxa" w:w="120"/>
              <w:right w:type="dxa" w:w="200"/>
            </w:tcMar>
          </w:tcPr>
          <w:p>
            <w:r>
              <w:rPr>
                <w:rFonts w:ascii="Arial" w:cs="Arial" w:eastAsia="Arial" w:hAnsi="Arial"/>
                <w:b/>
                <w:bCs/>
                <w:color w:val="93C5FD"/>
                <w:sz w:val="26"/>
                <w:szCs w:val="26"/>
              </w:rPr>
              <w:t xml:space="preserve">MOD-07  </w:t>
            </w:r>
            <w:r>
              <w:rPr>
                <w:rFonts w:ascii="Arial" w:cs="Arial" w:eastAsia="Arial" w:hAnsi="Arial"/>
                <w:b/>
                <w:bCs/>
                <w:color w:val="FFFFFF"/>
                <w:sz w:val="26"/>
                <w:szCs w:val="26"/>
              </w:rPr>
              <w:t xml:space="preserve">Portal del Cliente — LegalHub</w:t>
            </w:r>
            <w:r>
              <w:rPr>
                <w:rFonts w:ascii="Arial" w:cs="Arial" w:eastAsia="Arial" w:hAnsi="Arial"/>
                <w:color w:val="86EFAC"/>
                <w:sz w:val="20"/>
                <w:szCs w:val="20"/>
              </w:rPr>
              <w:t xml:space="preserve">     [undefined]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Descripción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Sistema separado pero conectado a ClearCase. Es lo que ve el cliente final: una página web pública donde puede conocer al despacho, y un portal privado donde puede revisar el avance de su caso en tiempo real, sin necesidad de llamar al despacho a preguntar '¿cómo va lo mío?'.</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Actor(es)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F2937"/>
                <w:sz w:val="20"/>
                <w:szCs w:val="20"/>
              </w:rPr>
              <w:t xml:space="preserve">Cliente del despacho (acceso al portal), Público general (solo página informativa)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Requerimientos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Página pública: presentación del despacho, áreas de práctica, equipo de abogados, formulario de contacto · Portal privado: iniciar sesión con credenciales asignadas por el despacho · Ver etapas de su caso con indicador visual de progreso · Leer descripciones de avance publicadas por el abogado · Ver línea de tiempo de actualizaciones de su caso · Recibir notificación por correo cuando haya una actualización · Cambiar contraseña desde su perfil</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Flujo principal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1F2937"/>
                <w:sz w:val="20"/>
                <w:szCs w:val="20"/>
              </w:rPr>
              <w:t xml:space="preserve">1. El despacho abre un caso y el sistema genera credenciales para el cliente · 2. El cliente recibe sus credenciales por correo electrónico · 3. El cliente entra a LegalHub e inicia sesión · 4. En su primer acceso debe cambiar la contraseña · 5. Ve el estado actual de su caso y el historial de actualizaciones · 6. Cuando el abogado actualiza el caso en ClearCase, el cliente lo ve automáticamente en LegalHub · 7. El cliente recibe una notificación por correo de cada actualización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1a3a6b"/>
                <w:sz w:val="20"/>
                <w:szCs w:val="20"/>
              </w:rPr>
              <w:t xml:space="preserve">Reglas de negocio</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El cliente solo puede ver su propio caso; no tiene acceso a otros expedientes · El abogado decide qué información de cada actualización es visible para el cliente · Los documentos del caso NO son visibles para el cliente a menos que el abogado lo autorice explícitamente · El cliente no puede modificar ningún dato dentro del portal · Si el cliente olvida su contraseña, debe contactar directamente al despacho para restablecerla · LegalHub comparte la base de datos con ClearCase pero es una aplicación web independiente</w:t>
            </w:r>
          </w:p>
        </w:tc>
      </w:tr>
    </w:tbl>
    <w:p>
      <w:pPr>
        <w:spacing w:before="60" w:after="60"/>
      </w:pPr>
      <w:r>
        <w:t xml:space="preserve"/>
      </w:r>
    </w:p>
    <w:p>
      <w:r>
        <w:br w:type="page"/>
      </w:r>
    </w:p>
    <w:p>
      <w:pPr>
        <w:pStyle w:val="Heading1"/>
        <w:pBdr>
          <w:bottom w:val="single" w:color="2563EB" w:sz="6" w:space="1"/>
        </w:pBdr>
        <w:spacing w:before="400" w:after="200"/>
      </w:pPr>
      <w:r>
        <w:rPr>
          <w:rFonts w:ascii="Arial" w:cs="Arial" w:eastAsia="Arial" w:hAnsi="Arial"/>
          <w:b/>
          <w:bCs/>
          <w:color w:val="1a3a6b"/>
          <w:sz w:val="32"/>
          <w:szCs w:val="32"/>
        </w:rPr>
        <w:t xml:space="preserve">Sección de Validación — Para el Despacho</w:t>
      </w:r>
    </w:p>
    <w:p>
      <w:pPr>
        <w:spacing w:before="80" w:after="80"/>
      </w:pPr>
      <w:r>
        <w:rPr>
          <w:rFonts w:ascii="Arial" w:cs="Arial" w:eastAsia="Arial" w:hAnsi="Arial"/>
          <w:color w:val="1F2937"/>
          <w:sz w:val="22"/>
          <w:szCs w:val="22"/>
        </w:rPr>
        <w:t xml:space="preserve">Por favor revise cada módulo y anote en la columna correspondiente si el funcionamiento descrito es correcto, si necesita ajustes o si hay algo que agregar.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320"/>
        <w:gridCol w:w="3440"/>
      </w:tblGrid>
      <w:tr>
        <w:trPr>
          <w:tblHeader/>
        </w:trPr>
        <w:tc>
          <w:tcPr>
            <w:tcW w:type="dxa" w:w="1800"/>
            <w:tcBorders>
              <w:top w:val="single" w:color="CBD5E1" w:sz="1"/>
              <w:left w:val="single" w:color="CBD5E1" w:sz="1"/>
              <w:bottom w:val="single" w:color="CBD5E1" w:sz="1"/>
              <w:right w:val="single" w:color="CBD5E1" w:sz="1"/>
            </w:tcBorders>
            <w:shd w:fill="1a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Módulo</w:t>
            </w:r>
          </w:p>
        </w:tc>
        <w:tc>
          <w:tcPr>
            <w:tcW w:type="dxa" w:w="2800"/>
            <w:tcBorders>
              <w:top w:val="single" w:color="CBD5E1" w:sz="1"/>
              <w:left w:val="single" w:color="CBD5E1" w:sz="1"/>
              <w:bottom w:val="single" w:color="CBD5E1" w:sz="1"/>
              <w:right w:val="single" w:color="CBD5E1" w:sz="1"/>
            </w:tcBorders>
            <w:shd w:fill="1a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Nombre</w:t>
            </w:r>
          </w:p>
        </w:tc>
        <w:tc>
          <w:tcPr>
            <w:tcW w:type="dxa" w:w="1320"/>
            <w:tcBorders>
              <w:top w:val="single" w:color="CBD5E1" w:sz="1"/>
              <w:left w:val="single" w:color="CBD5E1" w:sz="1"/>
              <w:bottom w:val="single" w:color="CBD5E1" w:sz="1"/>
              <w:right w:val="single" w:color="CBD5E1" w:sz="1"/>
            </w:tcBorders>
            <w:shd w:fill="1a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¿Aprobado?</w:t>
            </w:r>
          </w:p>
        </w:tc>
        <w:tc>
          <w:tcPr>
            <w:tcW w:type="dxa" w:w="3440"/>
            <w:tcBorders>
              <w:top w:val="single" w:color="CBD5E1" w:sz="1"/>
              <w:left w:val="single" w:color="CBD5E1" w:sz="1"/>
              <w:bottom w:val="single" w:color="CBD5E1" w:sz="1"/>
              <w:right w:val="single" w:color="CBD5E1" w:sz="1"/>
            </w:tcBorders>
            <w:shd w:fill="1a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Observaciones / Cambios solicitados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a3a6b"/>
                <w:sz w:val="20"/>
                <w:szCs w:val="20"/>
              </w:rPr>
              <w:t xml:space="preserve">MOD-01</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Gestión de Expedientes</w:t>
            </w:r>
          </w:p>
        </w:tc>
        <w:tc>
          <w:tcPr>
            <w:tcW w:type="dxa" w:w="1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9CA3AF"/>
                <w:sz w:val="18"/>
                <w:szCs w:val="18"/>
              </w:rPr>
              <w:t xml:space="preserve">  Sí  /  No</w:t>
            </w:r>
          </w:p>
        </w:tc>
        <w:tc>
          <w:tcPr>
            <w:tcW w:type="dxa" w:w="3440"/>
            <w:tcBorders>
              <w:top w:val="single" w:color="CBD5E1" w:sz="1"/>
              <w:left w:val="single" w:color="CBD5E1" w:sz="1"/>
              <w:bottom w:val="single" w:color="CBD5E1" w:sz="1"/>
              <w:right w:val="single" w:color="CBD5E1" w:sz="1"/>
            </w:tcBorders>
            <w:shd w:fill="F1F5F9" w:val="clear"/>
            <w:tcMar>
              <w:top w:type="dxa" w:w="200"/>
              <w:left w:type="dxa" w:w="120"/>
              <w:bottom w:type="dxa" w:w="200"/>
              <w:right w:type="dxa" w:w="120"/>
            </w:tcMar>
          </w:tcPr>
          <w:p>
            <w:r>
              <w:rPr>
                <w:rFonts w:ascii="Arial" w:cs="Arial" w:eastAsia="Arial" w:hAnsi="Arial"/>
                <w:sz w:val="20"/>
                <w:szCs w:val="20"/>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a3a6b"/>
                <w:sz w:val="20"/>
                <w:szCs w:val="20"/>
              </w:rPr>
              <w:t xml:space="preserve">MOD-02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Gestión Documental</w:t>
            </w:r>
          </w:p>
        </w:tc>
        <w:tc>
          <w:tcPr>
            <w:tcW w:type="dxa" w:w="1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9CA3AF"/>
                <w:sz w:val="18"/>
                <w:szCs w:val="18"/>
              </w:rPr>
              <w:t xml:space="preserve">  Sí  /  No</w:t>
            </w:r>
          </w:p>
        </w:tc>
        <w:tc>
          <w:tcPr>
            <w:tcW w:type="dxa" w:w="3440"/>
            <w:tcBorders>
              <w:top w:val="single" w:color="CBD5E1" w:sz="1"/>
              <w:left w:val="single" w:color="CBD5E1" w:sz="1"/>
              <w:bottom w:val="single" w:color="CBD5E1" w:sz="1"/>
              <w:right w:val="single" w:color="CBD5E1" w:sz="1"/>
            </w:tcBorders>
            <w:shd w:fill="FFFFFF" w:val="clear"/>
            <w:tcMar>
              <w:top w:type="dxa" w:w="200"/>
              <w:left w:type="dxa" w:w="120"/>
              <w:bottom w:type="dxa" w:w="200"/>
              <w:right w:type="dxa" w:w="120"/>
            </w:tcMar>
          </w:tcPr>
          <w:p>
            <w:r>
              <w:rPr>
                <w:rFonts w:ascii="Arial" w:cs="Arial" w:eastAsia="Arial" w:hAnsi="Arial"/>
                <w:sz w:val="20"/>
                <w:szCs w:val="20"/>
              </w:rPr>
              <w:t xml:space="preserve"/>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a3a6b"/>
                <w:sz w:val="20"/>
                <w:szCs w:val="20"/>
              </w:rPr>
              <w:t xml:space="preserve">MOD-03</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Gestión de Clientes</w:t>
            </w:r>
          </w:p>
        </w:tc>
        <w:tc>
          <w:tcPr>
            <w:tcW w:type="dxa" w:w="1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9CA3AF"/>
                <w:sz w:val="18"/>
                <w:szCs w:val="18"/>
              </w:rPr>
              <w:t xml:space="preserve">  Sí  /  No</w:t>
            </w:r>
          </w:p>
        </w:tc>
        <w:tc>
          <w:tcPr>
            <w:tcW w:type="dxa" w:w="3440"/>
            <w:tcBorders>
              <w:top w:val="single" w:color="CBD5E1" w:sz="1"/>
              <w:left w:val="single" w:color="CBD5E1" w:sz="1"/>
              <w:bottom w:val="single" w:color="CBD5E1" w:sz="1"/>
              <w:right w:val="single" w:color="CBD5E1" w:sz="1"/>
            </w:tcBorders>
            <w:shd w:fill="F1F5F9" w:val="clear"/>
            <w:tcMar>
              <w:top w:type="dxa" w:w="200"/>
              <w:left w:type="dxa" w:w="120"/>
              <w:bottom w:type="dxa" w:w="200"/>
              <w:right w:type="dxa" w:w="120"/>
            </w:tcMar>
          </w:tcPr>
          <w:p>
            <w:r>
              <w:rPr>
                <w:rFonts w:ascii="Arial" w:cs="Arial" w:eastAsia="Arial" w:hAnsi="Arial"/>
                <w:sz w:val="20"/>
                <w:szCs w:val="20"/>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a3a6b"/>
                <w:sz w:val="20"/>
                <w:szCs w:val="20"/>
              </w:rPr>
              <w:t xml:space="preserve">MOD-04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Control de Usuarios y Roles</w:t>
            </w:r>
          </w:p>
        </w:tc>
        <w:tc>
          <w:tcPr>
            <w:tcW w:type="dxa" w:w="1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9CA3AF"/>
                <w:sz w:val="18"/>
                <w:szCs w:val="18"/>
              </w:rPr>
              <w:t xml:space="preserve">  Sí  /  No</w:t>
            </w:r>
          </w:p>
        </w:tc>
        <w:tc>
          <w:tcPr>
            <w:tcW w:type="dxa" w:w="3440"/>
            <w:tcBorders>
              <w:top w:val="single" w:color="CBD5E1" w:sz="1"/>
              <w:left w:val="single" w:color="CBD5E1" w:sz="1"/>
              <w:bottom w:val="single" w:color="CBD5E1" w:sz="1"/>
              <w:right w:val="single" w:color="CBD5E1" w:sz="1"/>
            </w:tcBorders>
            <w:shd w:fill="FFFFFF" w:val="clear"/>
            <w:tcMar>
              <w:top w:type="dxa" w:w="200"/>
              <w:left w:type="dxa" w:w="120"/>
              <w:bottom w:type="dxa" w:w="200"/>
              <w:right w:type="dxa" w:w="120"/>
            </w:tcMar>
          </w:tcPr>
          <w:p>
            <w:r>
              <w:rPr>
                <w:rFonts w:ascii="Arial" w:cs="Arial" w:eastAsia="Arial" w:hAnsi="Arial"/>
                <w:sz w:val="20"/>
                <w:szCs w:val="20"/>
              </w:rPr>
              <w:t xml:space="preserve"/>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a3a6b"/>
                <w:sz w:val="20"/>
                <w:szCs w:val="20"/>
              </w:rPr>
              <w:t xml:space="preserve">MOD-05</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Agenda y Sistema de Alertas</w:t>
            </w:r>
          </w:p>
        </w:tc>
        <w:tc>
          <w:tcPr>
            <w:tcW w:type="dxa" w:w="1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9CA3AF"/>
                <w:sz w:val="18"/>
                <w:szCs w:val="18"/>
              </w:rPr>
              <w:t xml:space="preserve">  Sí  /  No</w:t>
            </w:r>
          </w:p>
        </w:tc>
        <w:tc>
          <w:tcPr>
            <w:tcW w:type="dxa" w:w="3440"/>
            <w:tcBorders>
              <w:top w:val="single" w:color="CBD5E1" w:sz="1"/>
              <w:left w:val="single" w:color="CBD5E1" w:sz="1"/>
              <w:bottom w:val="single" w:color="CBD5E1" w:sz="1"/>
              <w:right w:val="single" w:color="CBD5E1" w:sz="1"/>
            </w:tcBorders>
            <w:shd w:fill="F1F5F9" w:val="clear"/>
            <w:tcMar>
              <w:top w:type="dxa" w:w="200"/>
              <w:left w:type="dxa" w:w="120"/>
              <w:bottom w:type="dxa" w:w="200"/>
              <w:right w:type="dxa" w:w="120"/>
            </w:tcMar>
          </w:tcPr>
          <w:p>
            <w:r>
              <w:rPr>
                <w:rFonts w:ascii="Arial" w:cs="Arial" w:eastAsia="Arial" w:hAnsi="Arial"/>
                <w:sz w:val="20"/>
                <w:szCs w:val="20"/>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a3a6b"/>
                <w:sz w:val="20"/>
                <w:szCs w:val="20"/>
              </w:rPr>
              <w:t xml:space="preserve">MOD-06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 y Reportes</w:t>
            </w:r>
          </w:p>
        </w:tc>
        <w:tc>
          <w:tcPr>
            <w:tcW w:type="dxa" w:w="1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9CA3AF"/>
                <w:sz w:val="18"/>
                <w:szCs w:val="18"/>
              </w:rPr>
              <w:t xml:space="preserve">  Sí  /  No</w:t>
            </w:r>
          </w:p>
        </w:tc>
        <w:tc>
          <w:tcPr>
            <w:tcW w:type="dxa" w:w="3440"/>
            <w:tcBorders>
              <w:top w:val="single" w:color="CBD5E1" w:sz="1"/>
              <w:left w:val="single" w:color="CBD5E1" w:sz="1"/>
              <w:bottom w:val="single" w:color="CBD5E1" w:sz="1"/>
              <w:right w:val="single" w:color="CBD5E1" w:sz="1"/>
            </w:tcBorders>
            <w:shd w:fill="FFFFFF" w:val="clear"/>
            <w:tcMar>
              <w:top w:type="dxa" w:w="200"/>
              <w:left w:type="dxa" w:w="120"/>
              <w:bottom w:type="dxa" w:w="200"/>
              <w:right w:type="dxa" w:w="120"/>
            </w:tcMar>
          </w:tcPr>
          <w:p>
            <w:r>
              <w:rPr>
                <w:rFonts w:ascii="Arial" w:cs="Arial" w:eastAsia="Arial" w:hAnsi="Arial"/>
                <w:sz w:val="20"/>
                <w:szCs w:val="20"/>
              </w:rPr>
              <w:t xml:space="preserve"/>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a3a6b"/>
                <w:sz w:val="20"/>
                <w:szCs w:val="20"/>
              </w:rPr>
              <w:t xml:space="preserve">MOD-07</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F2937"/>
                <w:sz w:val="20"/>
                <w:szCs w:val="20"/>
              </w:rPr>
              <w:t xml:space="preserve">Portal del Cliente (LegalHub)</w:t>
            </w:r>
          </w:p>
        </w:tc>
        <w:tc>
          <w:tcPr>
            <w:tcW w:type="dxa" w:w="1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9CA3AF"/>
                <w:sz w:val="18"/>
                <w:szCs w:val="18"/>
              </w:rPr>
              <w:t xml:space="preserve">  Sí  /  No</w:t>
            </w:r>
          </w:p>
        </w:tc>
        <w:tc>
          <w:tcPr>
            <w:tcW w:type="dxa" w:w="3440"/>
            <w:tcBorders>
              <w:top w:val="single" w:color="CBD5E1" w:sz="1"/>
              <w:left w:val="single" w:color="CBD5E1" w:sz="1"/>
              <w:bottom w:val="single" w:color="CBD5E1" w:sz="1"/>
              <w:right w:val="single" w:color="CBD5E1" w:sz="1"/>
            </w:tcBorders>
            <w:shd w:fill="F1F5F9" w:val="clear"/>
            <w:tcMar>
              <w:top w:type="dxa" w:w="200"/>
              <w:left w:type="dxa" w:w="120"/>
              <w:bottom w:type="dxa" w:w="200"/>
              <w:right w:type="dxa" w:w="120"/>
            </w:tcMar>
          </w:tcPr>
          <w:p>
            <w:r>
              <w:rPr>
                <w:rFonts w:ascii="Arial" w:cs="Arial" w:eastAsia="Arial" w:hAnsi="Arial"/>
                <w:sz w:val="20"/>
                <w:szCs w:val="20"/>
              </w:rPr>
              <w:t xml:space="preserve"/>
            </w:r>
          </w:p>
        </w:tc>
      </w:tr>
    </w:tbl>
    <w:p>
      <w:pPr>
        <w:spacing w:before="60" w:after="60"/>
      </w:pPr>
      <w:r>
        <w:t xml:space="preserve"/>
      </w:r>
    </w:p>
    <w:p>
      <w:pPr>
        <w:spacing w:before="60" w:after="60"/>
      </w:pPr>
      <w:r>
        <w:t xml:space="preserve"/>
      </w:r>
    </w:p>
    <w:p>
      <w:pPr>
        <w:pStyle w:val="Heading1"/>
        <w:pBdr>
          <w:bottom w:val="single" w:color="2563EB" w:sz="6" w:space="1"/>
        </w:pBdr>
        <w:spacing w:before="400" w:after="200"/>
      </w:pPr>
      <w:r>
        <w:rPr>
          <w:rFonts w:ascii="Arial" w:cs="Arial" w:eastAsia="Arial" w:hAnsi="Arial"/>
          <w:b/>
          <w:bCs/>
          <w:color w:val="1a3a6b"/>
          <w:sz w:val="32"/>
          <w:szCs w:val="32"/>
        </w:rPr>
        <w:t xml:space="preserve">Firmas de Validación</w:t>
      </w:r>
    </w:p>
    <w:p>
      <w:pPr>
        <w:spacing w:before="80" w:after="80"/>
      </w:pPr>
      <w:r>
        <w:rPr>
          <w:rFonts w:ascii="Arial" w:cs="Arial" w:eastAsia="Arial" w:hAnsi="Arial"/>
          <w:color w:val="1F2937"/>
          <w:sz w:val="22"/>
          <w:szCs w:val="22"/>
        </w:rPr>
        <w:t xml:space="preserve">Con la firma de este documento el despacho confirma que los módulos y requerimientos descritos corresponden a sus necesidades, o en su defecto, que las observaciones anotadas han sido comunicadas al desarrollador.</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jc w:val="center"/>
            </w:pPr>
            <w:r>
              <w:rPr>
                <w:rFonts w:ascii="Arial" w:cs="Arial" w:eastAsia="Arial" w:hAnsi="Arial"/>
                <w:sz w:val="22"/>
                <w:szCs w:val="22"/>
              </w:rPr>
              <w:t xml:space="preserve">________________________________</w:t>
            </w:r>
          </w:p>
          <w:p>
            <w:pPr>
              <w:spacing w:before="120"/>
              <w:jc w:val="center"/>
            </w:pPr>
            <w:r>
              <w:rPr>
                <w:rFonts w:ascii="Arial" w:cs="Arial" w:eastAsia="Arial" w:hAnsi="Arial"/>
                <w:b/>
                <w:bCs/>
                <w:color w:val="1a3a6b"/>
                <w:sz w:val="22"/>
                <w:szCs w:val="22"/>
              </w:rPr>
              <w:t xml:space="preserve">Representante del Despacho</w:t>
            </w:r>
          </w:p>
          <w:p>
            <w:pPr>
              <w:jc w:val="center"/>
            </w:pPr>
            <w:r>
              <w:rPr>
                <w:rFonts w:ascii="Arial" w:cs="Arial" w:eastAsia="Arial" w:hAnsi="Arial"/>
                <w:color w:val="6B7280"/>
                <w:sz w:val="20"/>
                <w:szCs w:val="20"/>
              </w:rPr>
              <w:t xml:space="preserve">García y Gallegos</w:t>
            </w:r>
          </w:p>
          <w:p>
            <w:pPr>
              <w:jc w:val="center"/>
            </w:pPr>
            <w:r>
              <w:rPr>
                <w:rFonts w:ascii="Arial" w:cs="Arial" w:eastAsia="Arial" w:hAnsi="Arial"/>
                <w:color w:val="6B7280"/>
                <w:sz w:val="20"/>
                <w:szCs w:val="20"/>
              </w:rPr>
              <w:t xml:space="preserve">Fecha: ___________________</w:t>
            </w:r>
          </w:p>
        </w:tc>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jc w:val="center"/>
            </w:pPr>
            <w:r>
              <w:rPr>
                <w:rFonts w:ascii="Arial" w:cs="Arial" w:eastAsia="Arial" w:hAnsi="Arial"/>
                <w:sz w:val="22"/>
                <w:szCs w:val="22"/>
              </w:rPr>
              <w:t xml:space="preserve">________________________________</w:t>
            </w:r>
          </w:p>
          <w:p>
            <w:pPr>
              <w:spacing w:before="120"/>
              <w:jc w:val="center"/>
            </w:pPr>
            <w:r>
              <w:rPr>
                <w:rFonts w:ascii="Arial" w:cs="Arial" w:eastAsia="Arial" w:hAnsi="Arial"/>
                <w:b/>
                <w:bCs/>
                <w:color w:val="1a3a6b"/>
                <w:sz w:val="22"/>
                <w:szCs w:val="22"/>
              </w:rPr>
              <w:t xml:space="preserve">Manuel Alejandro Vázquez Hernández</w:t>
            </w:r>
          </w:p>
          <w:p>
            <w:pPr>
              <w:jc w:val="center"/>
            </w:pPr>
            <w:r>
              <w:rPr>
                <w:rFonts w:ascii="Arial" w:cs="Arial" w:eastAsia="Arial" w:hAnsi="Arial"/>
                <w:color w:val="6B7280"/>
                <w:sz w:val="20"/>
                <w:szCs w:val="20"/>
              </w:rPr>
              <w:t xml:space="preserve">Desarrollador — Estadía Profesional</w:t>
            </w:r>
          </w:p>
          <w:p>
            <w:pPr>
              <w:jc w:val="center"/>
            </w:pPr>
            <w:r>
              <w:rPr>
                <w:rFonts w:ascii="Arial" w:cs="Arial" w:eastAsia="Arial" w:hAnsi="Arial"/>
                <w:color w:val="6B7280"/>
                <w:sz w:val="20"/>
                <w:szCs w:val="20"/>
              </w:rPr>
              <w:t xml:space="preserve">Fecha: ___________________</w:t>
            </w:r>
          </w:p>
        </w:tc>
      </w:tr>
    </w:tbl>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360"/>
      </w:tabs>
      <w:spacing w:before="120"/>
    </w:pPr>
    <w:r>
      <w:rPr>
        <w:rFonts w:ascii="Arial" w:cs="Arial" w:eastAsia="Arial" w:hAnsi="Arial"/>
        <w:color w:val="6B7280"/>
        <w:sz w:val="18"/>
        <w:szCs w:val="18"/>
      </w:rPr>
      <w:t xml:space="preserve">Proyecto de Estadía Profesional  |  2026  |  Manuel Alejandro Vázquez Hernández</w:t>
    </w:r>
    <w:r>
      <w:rPr>
        <w:rFonts w:ascii="Arial" w:cs="Arial" w:eastAsia="Arial" w:hAnsi="Arial"/>
        <w:color w:val="6B7280"/>
        <w:sz w:val="18"/>
        <w:szCs w:val="18"/>
      </w:rPr>
      <w:t xml:space="preserve">	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120"/>
    </w:pPr>
    <w:r>
      <w:rPr>
        <w:rFonts w:ascii="Arial" w:cs="Arial" w:eastAsia="Arial" w:hAnsi="Arial"/>
        <w:b/>
        <w:bCs/>
        <w:color w:val="1a3a6b"/>
        <w:sz w:val="20"/>
        <w:szCs w:val="20"/>
      </w:rPr>
      <w:t xml:space="preserve">ClearCase  —  Especificación de Módulos y Requerimientos</w:t>
    </w:r>
    <w:r>
      <w:rPr>
        <w:rFonts w:ascii="Arial" w:cs="Arial" w:eastAsia="Arial" w:hAnsi="Arial"/>
        <w:color w:val="6B7280"/>
        <w:sz w:val="18"/>
        <w:szCs w:val="18"/>
      </w:rPr>
      <w:t xml:space="preserve">     García y Gallegos  |  Documento para Validación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6b"/>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2026-03-13T04:07:18.967Z</dcterms:created>
  <dcterms:modified xsi:type="dcterms:W3CDTF">2026-03-13T04:07:18.968Z</dcterms:modified>
</cp:coreProperties>
</file>

<file path=docProps/custom.xml><?xml version="1.0" encoding="utf-8"?>
<Properties xmlns="http://schemas.openxmlformats.org/officeDocument/2006/custom-properties" xmlns:vt="http://schemas.openxmlformats.org/officeDocument/2006/docPropsVTypes"/>
</file>