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sz w:val="56"/>
          <w:szCs w:val="56"/>
        </w:rPr>
        <w:t xml:space="preserve">KilimoAI</w:t>
      </w:r>
    </w:p>
    <w:p>
      <w:pPr>
        <w:spacing w:after="800"/>
        <w:jc w:val="center"/>
      </w:pPr>
      <w:r>
        <w:rPr>
          <w:b/>
          <w:bCs/>
          <w:sz w:val="28"/>
          <w:szCs w:val="28"/>
        </w:rPr>
        <w:t xml:space="preserve">A Multilingual Conversational AI Agent for Crop Disease Diagnosis and Advisory Support for Smallholder Farmers in Kenya</w:t>
      </w:r>
    </w:p>
    <w:p>
      <w:pPr>
        <w:spacing w:after="1000"/>
        <w:jc w:val="center"/>
      </w:pPr>
      <w:r>
        <w:rPr>
          <w:i/>
          <w:iCs/>
          <w:sz w:val="26"/>
          <w:szCs w:val="26"/>
        </w:rPr>
        <w:t xml:space="preserve">Final Year Project Proposal</w:t>
      </w:r>
    </w:p>
    <w:p>
      <w:pPr>
        <w:spacing w:after="600"/>
      </w:pPr>
    </w:p>
    <w:p>
      <w:pPr>
        <w:spacing w:after="120"/>
        <w:jc w:val="center"/>
      </w:pPr>
      <w:r>
        <w:rPr>
          <w:b/>
          <w:bCs/>
          <w:sz w:val="24"/>
          <w:szCs w:val="24"/>
        </w:rPr>
        <w:t xml:space="preserve">James Mwaura</w:t>
      </w:r>
    </w:p>
    <w:p>
      <w:pPr>
        <w:spacing w:after="120"/>
        <w:jc w:val="center"/>
      </w:pPr>
      <w:r>
        <w:rPr>
          <w:sz w:val="24"/>
          <w:szCs w:val="24"/>
        </w:rPr>
        <w:t xml:space="preserve">Registration Number: COM/3068/24</w:t>
      </w:r>
    </w:p>
    <w:p>
      <w:pPr>
        <w:spacing w:after="120"/>
        <w:jc w:val="center"/>
      </w:pPr>
      <w:r>
        <w:rPr>
          <w:sz w:val="24"/>
          <w:szCs w:val="24"/>
        </w:rPr>
        <w:t xml:space="preserve">Bachelor of Science in Computer Science</w:t>
      </w:r>
    </w:p>
    <w:p>
      <w:pPr>
        <w:spacing w:after="120"/>
        <w:jc w:val="center"/>
      </w:pPr>
      <w:r>
        <w:rPr>
          <w:sz w:val="24"/>
          <w:szCs w:val="24"/>
        </w:rPr>
        <w:t xml:space="preserve">Department of Mathematics, Physics and Computing</w:t>
      </w:r>
    </w:p>
    <w:p>
      <w:pPr>
        <w:spacing w:after="800"/>
        <w:jc w:val="center"/>
      </w:pPr>
      <w:r>
        <w:rPr>
          <w:sz w:val="24"/>
          <w:szCs w:val="24"/>
        </w:rPr>
        <w:t xml:space="preserve">Moi University</w:t>
      </w:r>
    </w:p>
    <w:p>
      <w:pPr>
        <w:spacing w:after="800"/>
        <w:jc w:val="center"/>
      </w:pPr>
      <w:r>
        <w:rPr>
          <w:i/>
          <w:iCs/>
          <w:sz w:val="20"/>
          <w:szCs w:val="20"/>
        </w:rPr>
        <w:t xml:space="preserve">A project proposal submitted to the Department of Mathematics, Physics and Computing in partial fulfilment of the requirements for the award of the Degree of Bachelor of Science in Computer Science, Moi University.</w:t>
      </w:r>
    </w:p>
    <w:p>
      <w:pPr>
        <w:jc w:val="center"/>
      </w:pPr>
      <w:r>
        <w:rPr>
          <w:sz w:val="22"/>
          <w:szCs w:val="22"/>
        </w:rPr>
        <w:t xml:space="preserve">July 2026</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Abstract</w:t>
      </w:r>
    </w:p>
    <w:p>
      <w:pPr>
        <w:spacing w:after="200" w:line="300"/>
        <w:jc w:val="both"/>
      </w:pPr>
      <w:r>
        <w:t xml:space="preserve">Smallholder farmers in Kenya lose a significant share of their harvest each season to crop pests and disease, a challenge worsened by limited access to timely agricultural extension services, particularly in rural areas. Existing digital tools for crop disease diagnosis are frequently limited to a single interaction mode, are trained primarily on curated laboratory imagery that does not reflect the real conditions under which farmers photograph their crops, and rarely support the local languages farmers are most comfortable communicating in.</w:t>
      </w:r>
    </w:p>
    <w:p>
      <w:pPr>
        <w:spacing w:after="200" w:line="300"/>
        <w:jc w:val="both"/>
      </w:pPr>
      <w:r>
        <w:t xml:space="preserve">This project proposes KilimoAI, a mobile conversational artificial intelligence agent designed to provide crop disease diagnosis and agronomic advisory support to smallholder farmers in Kenya. The system combines a vision-language model diagnosis engine, grounded in a curated disease description knowledge base, with a multi-turn conversational agent capable of web search, weather awareness, and outbreak notification. The system supports both text and voice interaction in English and Kiswahili. The proposed architecture is informed by recent research comparing convolutional neural networks, contrastive vision-language models, and generative vision-language models under real-world domain shift, and is designed specifically to remain reliable when farmers submit photographs taken under uncontrolled field conditions rather than curated laboratory images.</w:t>
      </w:r>
    </w:p>
    <w:p>
      <w:pPr>
        <w:spacing w:after="200" w:line="300"/>
        <w:jc w:val="both"/>
      </w:pPr>
      <w:r>
        <w:t xml:space="preserve">The project will be developed and evaluated over a five-month period, culminating in a working mobile application prototype, a curated disease description knowledge base for staple Kenyan crops, and an evaluation of the system’s diagnostic accuracy and usability.</w:t>
      </w:r>
    </w:p>
    <w:p>
      <w:pPr>
        <w:pStyle w:val="Heading1"/>
        <w:spacing w:after="200" w:before="360"/>
      </w:pPr>
      <w:r>
        <w:t xml:space="preserve">1. Introduction</w:t>
      </w:r>
    </w:p>
    <w:p>
      <w:pPr>
        <w:spacing w:after="200" w:line="300"/>
        <w:jc w:val="both"/>
      </w:pPr>
      <w:r>
        <w:t xml:space="preserve">Agriculture remains a central pillar of the Kenyan economy, employing a substantial proportion of the workforce and underpinning household food security, particularly among smallholder farmers who cultivate staple crops such as maize, beans, tomato, and potato on small landholdings. Despite this importance, smallholder farmers continue to face significant losses from crop pests and disease, frequently compounded by delayed or inaccessible agronomic advice.</w:t>
      </w:r>
    </w:p>
    <w:p>
      <w:pPr>
        <w:spacing w:after="200" w:line="300"/>
        <w:jc w:val="both"/>
      </w:pPr>
      <w:r>
        <w:t xml:space="preserve">Advances in artificial intelligence, particularly in computer vision and large language models, present an opportunity to close this advisory gap. Recent developments in vision-language models allow systems to reason jointly over images and natural language, opening the possibility of conversational, multilingual, and voice-enabled agricultural advisory tools that are considerably more accessible than earlier image-only classification systems.</w:t>
      </w:r>
    </w:p>
    <w:p>
      <w:pPr>
        <w:spacing w:after="200" w:line="300"/>
        <w:jc w:val="both"/>
      </w:pPr>
      <w:r>
        <w:t xml:space="preserve">This proposal outlines the design and development of KilimoAI, a conversational AI agent that diagnoses crop disease from farmer-submitted photographs, engages in multi-turn advisory conversation, retrieves current information through web search, and proactively notifies farmers of relevant weather conditions and disease outbreaks, all in a language and interaction mode the farmer is comfortable with.</w:t>
      </w:r>
    </w:p>
    <w:p>
      <w:pPr>
        <w:pStyle w:val="Heading1"/>
        <w:spacing w:after="200" w:before="360"/>
      </w:pPr>
      <w:r>
        <w:t xml:space="preserve">2. Problem statement</w:t>
      </w:r>
    </w:p>
    <w:p>
      <w:pPr>
        <w:spacing w:after="200" w:line="300"/>
        <w:jc w:val="both"/>
      </w:pPr>
      <w:r>
        <w:t xml:space="preserve">Plant pests and diseases are estimated to account for a substantial share of global crop production losses, a burden that falls disproportionately on smallholder farmers with limited access to agricultural extension officers. In the Kenyan context, this problem is intensified by three specific gaps in existing digital solutions:</w:t>
      </w:r>
    </w:p>
    <w:p>
      <w:pPr>
        <w:pStyle w:val="ListParagraph"/>
        <w:numPr>
          <w:ilvl w:val="0"/>
          <w:numId w:val="2"/>
        </w:numPr>
        <w:spacing w:after="100" w:line="300"/>
      </w:pPr>
      <w:r>
        <w:t xml:space="preserve">Existing crop disease detection tools are typically trained on curated laboratory image datasets, which recent research shows generalise poorly to the uncontrolled, cluttered, and variably lit photographs that farmers actually capture on mobile phones in the field.</w:t>
      </w:r>
    </w:p>
    <w:p>
      <w:pPr>
        <w:pStyle w:val="ListParagraph"/>
        <w:numPr>
          <w:ilvl w:val="0"/>
          <w:numId w:val="2"/>
        </w:numPr>
        <w:spacing w:after="100" w:line="300"/>
      </w:pPr>
      <w:r>
        <w:t xml:space="preserve">Most available tools operate as single-turn image classifiers rather than conversational advisory systems, offering no capacity for follow-up questions, contextual reasoning, or broader agronomic guidance.</w:t>
      </w:r>
    </w:p>
    <w:p>
      <w:pPr>
        <w:pStyle w:val="ListParagraph"/>
        <w:numPr>
          <w:ilvl w:val="0"/>
          <w:numId w:val="2"/>
        </w:numPr>
        <w:spacing w:after="100" w:line="300"/>
      </w:pPr>
      <w:r>
        <w:t xml:space="preserve">Digital agricultural tools overwhelmingly assume English literacy and text-based interaction, excluding farmers who are more comfortable communicating in Kiswahili or by voice.</w:t>
      </w:r>
    </w:p>
    <w:p>
      <w:pPr>
        <w:spacing w:after="200" w:line="300"/>
        <w:jc w:val="both"/>
      </w:pPr>
      <w:r>
        <w:t xml:space="preserve">KilimoAI is proposed as a response to these three gaps, combining a diagnosis engine architected for real-world reliability with a multilingual, voice-enabled conversational interface.</w:t>
      </w:r>
    </w:p>
    <w:p>
      <w:pPr>
        <w:pStyle w:val="Heading1"/>
        <w:spacing w:after="200" w:before="360"/>
      </w:pPr>
      <w:r>
        <w:t xml:space="preserve">3. Objectives</w:t>
      </w:r>
    </w:p>
    <w:p>
      <w:pPr>
        <w:pStyle w:val="Heading2"/>
        <w:spacing w:after="160" w:before="280"/>
      </w:pPr>
      <w:r>
        <w:t xml:space="preserve">3.1 General objective</w:t>
      </w:r>
    </w:p>
    <w:p>
      <w:pPr>
        <w:spacing w:after="200" w:line="300"/>
        <w:jc w:val="both"/>
      </w:pPr>
      <w:r>
        <w:t xml:space="preserve">To design and develop a multilingual, voice-enabled conversational artificial intelligence system that assists smallholder farmers in Kenya with crop disease diagnosis and agronomic advisory support.</w:t>
      </w:r>
    </w:p>
    <w:p>
      <w:pPr>
        <w:pStyle w:val="Heading2"/>
        <w:spacing w:after="160" w:before="280"/>
      </w:pPr>
      <w:r>
        <w:t xml:space="preserve">3.2 Specific objectives</w:t>
      </w:r>
    </w:p>
    <w:p>
      <w:pPr>
        <w:pStyle w:val="ListParagraph"/>
        <w:numPr>
          <w:ilvl w:val="0"/>
          <w:numId w:val="3"/>
        </w:numPr>
        <w:spacing w:after="100" w:line="300"/>
      </w:pPr>
      <w:r>
        <w:t xml:space="preserve">To design a vision-language model based diagnosis engine capable of identifying diseases in a defined set of staple Kenyan crops from farmer-submitted photographs.</w:t>
      </w:r>
    </w:p>
    <w:p>
      <w:pPr>
        <w:pStyle w:val="ListParagraph"/>
        <w:numPr>
          <w:ilvl w:val="0"/>
          <w:numId w:val="3"/>
        </w:numPr>
        <w:spacing w:after="100" w:line="300"/>
      </w:pPr>
      <w:r>
        <w:t xml:space="preserve">To construct a curated disease description knowledge base to ground the diagnosis engine and reduce hallucinated or unreliable outputs.</w:t>
      </w:r>
    </w:p>
    <w:p>
      <w:pPr>
        <w:pStyle w:val="ListParagraph"/>
        <w:numPr>
          <w:ilvl w:val="0"/>
          <w:numId w:val="3"/>
        </w:numPr>
        <w:spacing w:after="100" w:line="300"/>
      </w:pPr>
      <w:r>
        <w:t xml:space="preserve">To implement a multi-turn conversational agent capable of tool use, including web search, weather retrieval, and outbreak lookup.</w:t>
      </w:r>
    </w:p>
    <w:p>
      <w:pPr>
        <w:pStyle w:val="ListParagraph"/>
        <w:numPr>
          <w:ilvl w:val="0"/>
          <w:numId w:val="3"/>
        </w:numPr>
        <w:spacing w:after="100" w:line="300"/>
      </w:pPr>
      <w:r>
        <w:t xml:space="preserve">To integrate voice-based interaction, including speech-to-text and text-to-speech, in English and Kiswahili.</w:t>
      </w:r>
    </w:p>
    <w:p>
      <w:pPr>
        <w:pStyle w:val="ListParagraph"/>
        <w:numPr>
          <w:ilvl w:val="0"/>
          <w:numId w:val="3"/>
        </w:numPr>
        <w:spacing w:after="100" w:line="300"/>
      </w:pPr>
      <w:r>
        <w:t xml:space="preserve">To design a notification mechanism that proactively alerts farmers to relevant disease outbreaks and weather conditions.</w:t>
      </w:r>
    </w:p>
    <w:p>
      <w:pPr>
        <w:pStyle w:val="ListParagraph"/>
        <w:numPr>
          <w:ilvl w:val="0"/>
          <w:numId w:val="3"/>
        </w:numPr>
        <w:spacing w:after="100" w:line="300"/>
      </w:pPr>
      <w:r>
        <w:t xml:space="preserve">To evaluate the diagnostic accuracy, reliability, and usability of the system using representative test data and demonstration scenarios.</w:t>
      </w:r>
    </w:p>
    <w:p>
      <w:pPr>
        <w:pStyle w:val="Heading1"/>
        <w:spacing w:after="200" w:before="360"/>
      </w:pPr>
      <w:r>
        <w:t xml:space="preserve">4. Justification</w:t>
      </w:r>
    </w:p>
    <w:p>
      <w:pPr>
        <w:spacing w:after="200" w:line="300"/>
        <w:jc w:val="both"/>
      </w:pPr>
      <w:r>
        <w:t xml:space="preserve">This project is justified on both technical and social grounds. Technically, it applies current, evidence-based approaches in vision-language modelling to a domain where the dominant existing approach, convolutional neural networks trained on laboratory imagery, has been shown to degrade sharply under real-world field conditions. Socially, it addresses a genuine accessibility gap: the majority of smallholder farmers who would benefit most from agricultural advisory technology are precisely those least served by existing English-only, text-only tools. By supporting Kiswahili and voice interaction, the system is designed to be usable by a substantially broader population of Kenyan farmers than existing alternatives.</w:t>
      </w:r>
    </w:p>
    <w:p>
      <w:pPr>
        <w:pStyle w:val="Heading1"/>
        <w:spacing w:after="200" w:before="360"/>
      </w:pPr>
      <w:r>
        <w:t xml:space="preserve">5. Literature review</w:t>
      </w:r>
    </w:p>
    <w:p>
      <w:pPr>
        <w:spacing w:after="200" w:line="300"/>
        <w:jc w:val="both"/>
      </w:pPr>
      <w:r>
        <w:t xml:space="preserve">A substantial body of research has applied convolutional neural networks to crop disease classification, commonly achieving high accuracy, often above 95 percent, on curated datasets such as PlantVillage. However, recent controlled benchmarking work directly comparing convolutional neural networks against contrastive and generative vision-language models under explicit laboratory-to-field domain shift found that convolutional models, while achieving the strongest in-domain accuracy, suffered the most severe degradation when evaluated on field-captured imagery, in some conditions collapsing to near-chance performance. The same study found generative vision-language models considerably more resilient to this domain shift, at the cost of a distinct failure mode involving unparseable or fabricated outputs, which the study concluded requires structural output constraints to mitigate.</w:t>
      </w:r>
    </w:p>
    <w:p>
      <w:pPr>
        <w:spacing w:after="200" w:line="300"/>
        <w:jc w:val="both"/>
      </w:pPr>
      <w:r>
        <w:t xml:space="preserve">Separately, a training-free framework combining chain-of-thought prompting with a curated, textual disease description database demonstrated that a generative vision-language model, guided through a structured step-by-step comparison against known disease descriptions, achieved substantially higher and more stable classification accuracy than the same model prompted naively, and generalised to previously unseen crops without additional training.</w:t>
      </w:r>
    </w:p>
    <w:p>
      <w:pPr>
        <w:spacing w:after="200" w:line="300"/>
        <w:jc w:val="both"/>
      </w:pPr>
      <w:r>
        <w:t xml:space="preserve">A broader review of large language model and vision-language model integration in plant stress phenotyping further highlighted the value of retrieval-augmented approaches in reducing hallucination, the persistent challenge of multilingual and low-resource language support in agricultural applications, and the importance of edge and offline-capable deployment for farmers in regions with limited connectivity.</w:t>
      </w:r>
    </w:p>
    <w:p>
      <w:pPr>
        <w:spacing w:after="200" w:line="300"/>
        <w:jc w:val="both"/>
      </w:pPr>
      <w:r>
        <w:t xml:space="preserve">Taken together, this literature informed the decision to build the KilimoAI diagnosis engine around a generative vision-language model constrained by a curated disease description knowledge base and strict output formatting, rather than a conventional convolutional neural network trained on laboratory imagery alone.</w:t>
      </w:r>
    </w:p>
    <w:p>
      <w:pPr>
        <w:pStyle w:val="Heading1"/>
        <w:spacing w:after="200" w:before="360"/>
      </w:pPr>
      <w:r>
        <w:t xml:space="preserve">6. System design and architecture</w:t>
      </w:r>
    </w:p>
    <w:p>
      <w:pPr>
        <w:spacing w:after="200" w:line="300"/>
        <w:jc w:val="both"/>
      </w:pPr>
      <w:r>
        <w:t xml:space="preserve">The system is organised into three layers: a mobile application frontend, a backend orchestration and diagnosis layer, and a set of external services and data stores.</w:t>
      </w:r>
    </w:p>
    <w:p>
      <w:pPr>
        <w:pStyle w:val="Heading2"/>
        <w:spacing w:after="160" w:before="280"/>
      </w:pPr>
      <w:r>
        <w:t xml:space="preserve">6.1 Mobile application</w:t>
      </w:r>
    </w:p>
    <w:p>
      <w:pPr>
        <w:spacing w:after="200" w:line="300"/>
        <w:jc w:val="both"/>
      </w:pPr>
      <w:r>
        <w:t xml:space="preserve">A React Native mobile application provides the farmer-facing interface, including photo capture, voice recording and playback, a text and voice chat interface, a Kiswahili and English language toggle, and a notification inbox for outbreak and advisory alerts.</w:t>
      </w:r>
    </w:p>
    <w:p>
      <w:pPr>
        <w:pStyle w:val="Heading2"/>
        <w:spacing w:after="160" w:before="280"/>
      </w:pPr>
      <w:r>
        <w:t xml:space="preserve">6.2 Backend and conversational agent</w:t>
      </w:r>
    </w:p>
    <w:p>
      <w:pPr>
        <w:spacing w:after="200" w:line="300"/>
        <w:jc w:val="both"/>
      </w:pPr>
      <w:r>
        <w:t xml:space="preserve">A FastAPI backend exposes endpoints for chat, image-based diagnosis, voice interaction, registration, and notifications. At the centre of the backend is a conversational agent built using function calling, allowing the underlying language model to invoke tools including crop image diagnosis, web search, weather retrieval, and outbreak lookup, and to maintain short-term conversational memory across a session.</w:t>
      </w:r>
    </w:p>
    <w:p>
      <w:pPr>
        <w:pStyle w:val="Heading2"/>
        <w:spacing w:after="160" w:before="280"/>
      </w:pPr>
      <w:r>
        <w:t xml:space="preserve">6.3 Diagnosis engine</w:t>
      </w:r>
    </w:p>
    <w:p>
      <w:pPr>
        <w:spacing w:after="200" w:line="300"/>
        <w:jc w:val="both"/>
      </w:pPr>
      <w:r>
        <w:t xml:space="preserve">The diagnosis engine first performs a crop identification step to determine whether the submitted photograph depicts a crop covered by the curated knowledge base. For recognised crops, the photograph is compared against structured disease descriptions using a constrained, scored matching approach, rather than free-text generation, to reduce the risk of hallucinated or unparseable output. For unrecognised crops, or where the match confidence is low, the system falls back to a web search and clearly labels the resulting guidance as general knowledge rather than a verified diagnosis.</w:t>
      </w:r>
    </w:p>
    <w:p>
      <w:pPr>
        <w:pStyle w:val="Heading2"/>
        <w:spacing w:after="160" w:before="280"/>
      </w:pPr>
      <w:r>
        <w:t xml:space="preserve">6.4 Disease description knowledge base</w:t>
      </w:r>
    </w:p>
    <w:p>
      <w:pPr>
        <w:spacing w:after="200" w:line="300"/>
        <w:jc w:val="both"/>
      </w:pPr>
      <w:r>
        <w:t xml:space="preserve">The diagnosis engine is grounded in a structured knowledge base of visual disease descriptions for staple Kenyan crops, curated from agricultural extension materials. An illustrative excerpt of the schema is shown below.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400"/>
        <w:gridCol w:w="1600"/>
        <w:gridCol w:w="1600"/>
        <w:gridCol w:w="1320"/>
      </w:tblGrid>
      <w:tr>
        <w:trPr>
          <w:tblHeader/>
        </w:trPr>
        <w:tc>
          <w:tcPr>
            <w:tcW w:type="dxa" w:w="900"/>
            <w:shd w:fill="D9D9D9" w:val="clear"/>
            <w:tcMar>
              <w:top w:type="dxa" w:w="100"/>
              <w:left w:type="dxa" w:w="120"/>
              <w:bottom w:type="dxa" w:w="100"/>
              <w:right w:type="dxa" w:w="120"/>
            </w:tcMar>
            <w:vAlign w:val="center"/>
          </w:tcPr>
          <w:p>
            <w:pPr>
              <w:spacing w:after="0"/>
            </w:pPr>
            <w:r>
              <w:rPr>
                <w:b/>
                <w:bCs/>
                <w:sz w:val="20"/>
                <w:szCs w:val="20"/>
              </w:rPr>
              <w:t xml:space="preserve">Crop</w:t>
            </w:r>
          </w:p>
        </w:tc>
        <w:tc>
          <w:tcPr>
            <w:tcW w:type="dxa" w:w="1200"/>
            <w:shd w:fill="D9D9D9" w:val="clear"/>
            <w:tcMar>
              <w:top w:type="dxa" w:w="100"/>
              <w:left w:type="dxa" w:w="120"/>
              <w:bottom w:type="dxa" w:w="100"/>
              <w:right w:type="dxa" w:w="120"/>
            </w:tcMar>
            <w:vAlign w:val="center"/>
          </w:tcPr>
          <w:p>
            <w:pPr>
              <w:spacing w:after="0"/>
            </w:pPr>
            <w:r>
              <w:rPr>
                <w:b/>
                <w:bCs/>
                <w:sz w:val="20"/>
                <w:szCs w:val="20"/>
              </w:rPr>
              <w:t xml:space="preserve">Disease</w:t>
            </w:r>
          </w:p>
        </w:tc>
        <w:tc>
          <w:tcPr>
            <w:tcW w:type="dxa" w:w="2400"/>
            <w:shd w:fill="D9D9D9" w:val="clear"/>
            <w:tcMar>
              <w:top w:type="dxa" w:w="100"/>
              <w:left w:type="dxa" w:w="120"/>
              <w:bottom w:type="dxa" w:w="100"/>
              <w:right w:type="dxa" w:w="120"/>
            </w:tcMar>
            <w:vAlign w:val="center"/>
          </w:tcPr>
          <w:p>
            <w:pPr>
              <w:spacing w:after="0"/>
            </w:pPr>
            <w:r>
              <w:rPr>
                <w:b/>
                <w:bCs/>
                <w:sz w:val="20"/>
                <w:szCs w:val="20"/>
              </w:rPr>
              <w:t xml:space="preserve">Visual symptoms</w:t>
            </w:r>
          </w:p>
        </w:tc>
        <w:tc>
          <w:tcPr>
            <w:tcW w:type="dxa" w:w="1600"/>
            <w:shd w:fill="D9D9D9" w:val="clear"/>
            <w:tcMar>
              <w:top w:type="dxa" w:w="100"/>
              <w:left w:type="dxa" w:w="120"/>
              <w:bottom w:type="dxa" w:w="100"/>
              <w:right w:type="dxa" w:w="120"/>
            </w:tcMar>
            <w:vAlign w:val="center"/>
          </w:tcPr>
          <w:p>
            <w:pPr>
              <w:spacing w:after="0"/>
            </w:pPr>
            <w:r>
              <w:rPr>
                <w:b/>
                <w:bCs/>
                <w:sz w:val="20"/>
                <w:szCs w:val="20"/>
              </w:rPr>
              <w:t xml:space="preserve">Severity indicators</w:t>
            </w:r>
          </w:p>
        </w:tc>
        <w:tc>
          <w:tcPr>
            <w:tcW w:type="dxa" w:w="1600"/>
            <w:shd w:fill="D9D9D9" w:val="clear"/>
            <w:tcMar>
              <w:top w:type="dxa" w:w="100"/>
              <w:left w:type="dxa" w:w="120"/>
              <w:bottom w:type="dxa" w:w="100"/>
              <w:right w:type="dxa" w:w="120"/>
            </w:tcMar>
            <w:vAlign w:val="center"/>
          </w:tcPr>
          <w:p>
            <w:pPr>
              <w:spacing w:after="0"/>
            </w:pPr>
            <w:r>
              <w:rPr>
                <w:b/>
                <w:bCs/>
                <w:sz w:val="20"/>
                <w:szCs w:val="20"/>
              </w:rPr>
              <w:t xml:space="preserve">Treatment category</w:t>
            </w:r>
          </w:p>
        </w:tc>
        <w:tc>
          <w:tcPr>
            <w:tcW w:type="dxa" w:w="1320"/>
            <w:shd w:fill="D9D9D9" w:val="clear"/>
            <w:tcMar>
              <w:top w:type="dxa" w:w="100"/>
              <w:left w:type="dxa" w:w="120"/>
              <w:bottom w:type="dxa" w:w="100"/>
              <w:right w:type="dxa" w:w="120"/>
            </w:tcMar>
            <w:vAlign w:val="center"/>
          </w:tcPr>
          <w:p>
            <w:pPr>
              <w:spacing w:after="0"/>
            </w:pPr>
            <w:r>
              <w:rPr>
                <w:b/>
                <w:bCs/>
                <w:sz w:val="20"/>
                <w:szCs w:val="20"/>
              </w:rPr>
              <w:t xml:space="preserve">Source</w:t>
            </w:r>
          </w:p>
        </w:tc>
      </w:tr>
      <w:tr>
        <w:tc>
          <w:tcPr>
            <w:tcW w:type="dxa" w:w="900"/>
            <w:tcMar>
              <w:top w:type="dxa" w:w="100"/>
              <w:left w:type="dxa" w:w="120"/>
              <w:bottom w:type="dxa" w:w="100"/>
              <w:right w:type="dxa" w:w="120"/>
            </w:tcMar>
            <w:vAlign w:val="center"/>
          </w:tcPr>
          <w:p>
            <w:pPr>
              <w:spacing w:after="0"/>
            </w:pPr>
            <w:r>
              <w:rPr>
                <w:b w:val="false"/>
                <w:bCs w:val="false"/>
                <w:sz w:val="20"/>
                <w:szCs w:val="20"/>
              </w:rPr>
              <w:t xml:space="preserve">Maize</w:t>
            </w:r>
          </w:p>
        </w:tc>
        <w:tc>
          <w:tcPr>
            <w:tcW w:type="dxa" w:w="1200"/>
            <w:tcMar>
              <w:top w:type="dxa" w:w="100"/>
              <w:left w:type="dxa" w:w="120"/>
              <w:bottom w:type="dxa" w:w="100"/>
              <w:right w:type="dxa" w:w="120"/>
            </w:tcMar>
            <w:vAlign w:val="center"/>
          </w:tcPr>
          <w:p>
            <w:pPr>
              <w:spacing w:after="0"/>
            </w:pPr>
            <w:r>
              <w:rPr>
                <w:b w:val="false"/>
                <w:bCs w:val="false"/>
                <w:sz w:val="20"/>
                <w:szCs w:val="20"/>
              </w:rPr>
              <w:t xml:space="preserve">Common rust</w:t>
            </w:r>
          </w:p>
        </w:tc>
        <w:tc>
          <w:tcPr>
            <w:tcW w:type="dxa" w:w="2400"/>
            <w:tcMar>
              <w:top w:type="dxa" w:w="100"/>
              <w:left w:type="dxa" w:w="120"/>
              <w:bottom w:type="dxa" w:w="100"/>
              <w:right w:type="dxa" w:w="120"/>
            </w:tcMar>
            <w:vAlign w:val="center"/>
          </w:tcPr>
          <w:p>
            <w:pPr>
              <w:spacing w:after="0"/>
            </w:pPr>
            <w:r>
              <w:rPr>
                <w:b w:val="false"/>
                <w:bCs w:val="false"/>
                <w:sz w:val="20"/>
                <w:szCs w:val="20"/>
              </w:rPr>
              <w:t xml:space="preserve">Small reddish-brown raised pustules scattered across both leaf surfaces</w:t>
            </w:r>
          </w:p>
        </w:tc>
        <w:tc>
          <w:tcPr>
            <w:tcW w:type="dxa" w:w="1600"/>
            <w:tcMar>
              <w:top w:type="dxa" w:w="100"/>
              <w:left w:type="dxa" w:w="120"/>
              <w:bottom w:type="dxa" w:w="100"/>
              <w:right w:type="dxa" w:w="120"/>
            </w:tcMar>
            <w:vAlign w:val="center"/>
          </w:tcPr>
          <w:p>
            <w:pPr>
              <w:spacing w:after="0"/>
            </w:pPr>
            <w:r>
              <w:rPr>
                <w:b w:val="false"/>
                <w:bCs w:val="false"/>
                <w:sz w:val="20"/>
                <w:szCs w:val="20"/>
              </w:rPr>
              <w:t xml:space="preserve">Pustule density, leaf area affected</w:t>
            </w:r>
          </w:p>
        </w:tc>
        <w:tc>
          <w:tcPr>
            <w:tcW w:type="dxa" w:w="1600"/>
            <w:tcMar>
              <w:top w:type="dxa" w:w="100"/>
              <w:left w:type="dxa" w:w="120"/>
              <w:bottom w:type="dxa" w:w="100"/>
              <w:right w:type="dxa" w:w="120"/>
            </w:tcMar>
            <w:vAlign w:val="center"/>
          </w:tcPr>
          <w:p>
            <w:pPr>
              <w:spacing w:after="0"/>
            </w:pPr>
            <w:r>
              <w:rPr>
                <w:b w:val="false"/>
                <w:bCs w:val="false"/>
                <w:sz w:val="20"/>
                <w:szCs w:val="20"/>
              </w:rPr>
              <w:t xml:space="preserve">Fungicide class, resistant variety planning</w:t>
            </w:r>
          </w:p>
        </w:tc>
        <w:tc>
          <w:tcPr>
            <w:tcW w:type="dxa" w:w="1320"/>
            <w:tcMar>
              <w:top w:type="dxa" w:w="100"/>
              <w:left w:type="dxa" w:w="120"/>
              <w:bottom w:type="dxa" w:w="100"/>
              <w:right w:type="dxa" w:w="120"/>
            </w:tcMar>
            <w:vAlign w:val="center"/>
          </w:tcPr>
          <w:p>
            <w:pPr>
              <w:spacing w:after="0"/>
            </w:pPr>
            <w:r>
              <w:rPr>
                <w:b w:val="false"/>
                <w:bCs w:val="false"/>
                <w:sz w:val="20"/>
                <w:szCs w:val="20"/>
              </w:rPr>
              <w:t xml:space="preserve">KALRO extension guide</w:t>
            </w:r>
          </w:p>
        </w:tc>
      </w:tr>
      <w:tr>
        <w:tc>
          <w:tcPr>
            <w:tcW w:type="dxa" w:w="900"/>
            <w:tcMar>
              <w:top w:type="dxa" w:w="100"/>
              <w:left w:type="dxa" w:w="120"/>
              <w:bottom w:type="dxa" w:w="100"/>
              <w:right w:type="dxa" w:w="120"/>
            </w:tcMar>
            <w:vAlign w:val="center"/>
          </w:tcPr>
          <w:p>
            <w:pPr>
              <w:spacing w:after="0"/>
            </w:pPr>
            <w:r>
              <w:rPr>
                <w:b w:val="false"/>
                <w:bCs w:val="false"/>
                <w:sz w:val="20"/>
                <w:szCs w:val="20"/>
              </w:rPr>
              <w:t xml:space="preserve">Tomato</w:t>
            </w:r>
          </w:p>
        </w:tc>
        <w:tc>
          <w:tcPr>
            <w:tcW w:type="dxa" w:w="1200"/>
            <w:tcMar>
              <w:top w:type="dxa" w:w="100"/>
              <w:left w:type="dxa" w:w="120"/>
              <w:bottom w:type="dxa" w:w="100"/>
              <w:right w:type="dxa" w:w="120"/>
            </w:tcMar>
            <w:vAlign w:val="center"/>
          </w:tcPr>
          <w:p>
            <w:pPr>
              <w:spacing w:after="0"/>
            </w:pPr>
            <w:r>
              <w:rPr>
                <w:b w:val="false"/>
                <w:bCs w:val="false"/>
                <w:sz w:val="20"/>
                <w:szCs w:val="20"/>
              </w:rPr>
              <w:t xml:space="preserve">Early blight</w:t>
            </w:r>
          </w:p>
        </w:tc>
        <w:tc>
          <w:tcPr>
            <w:tcW w:type="dxa" w:w="2400"/>
            <w:tcMar>
              <w:top w:type="dxa" w:w="100"/>
              <w:left w:type="dxa" w:w="120"/>
              <w:bottom w:type="dxa" w:w="100"/>
              <w:right w:type="dxa" w:w="120"/>
            </w:tcMar>
            <w:vAlign w:val="center"/>
          </w:tcPr>
          <w:p>
            <w:pPr>
              <w:spacing w:after="0"/>
            </w:pPr>
            <w:r>
              <w:rPr>
                <w:b w:val="false"/>
                <w:bCs w:val="false"/>
                <w:sz w:val="20"/>
                <w:szCs w:val="20"/>
              </w:rPr>
              <w:t xml:space="preserve">Dark concentric ring spots on lower leaves with yellowing around lesions</w:t>
            </w:r>
          </w:p>
        </w:tc>
        <w:tc>
          <w:tcPr>
            <w:tcW w:type="dxa" w:w="1600"/>
            <w:tcMar>
              <w:top w:type="dxa" w:w="100"/>
              <w:left w:type="dxa" w:w="120"/>
              <w:bottom w:type="dxa" w:w="100"/>
              <w:right w:type="dxa" w:w="120"/>
            </w:tcMar>
            <w:vAlign w:val="center"/>
          </w:tcPr>
          <w:p>
            <w:pPr>
              <w:spacing w:after="0"/>
            </w:pPr>
            <w:r>
              <w:rPr>
                <w:b w:val="false"/>
                <w:bCs w:val="false"/>
                <w:sz w:val="20"/>
                <w:szCs w:val="20"/>
              </w:rPr>
              <w:t xml:space="preserve">Lesion count, defoliation extent</w:t>
            </w:r>
          </w:p>
        </w:tc>
        <w:tc>
          <w:tcPr>
            <w:tcW w:type="dxa" w:w="1600"/>
            <w:tcMar>
              <w:top w:type="dxa" w:w="100"/>
              <w:left w:type="dxa" w:w="120"/>
              <w:bottom w:type="dxa" w:w="100"/>
              <w:right w:type="dxa" w:w="120"/>
            </w:tcMar>
            <w:vAlign w:val="center"/>
          </w:tcPr>
          <w:p>
            <w:pPr>
              <w:spacing w:after="0"/>
            </w:pPr>
            <w:r>
              <w:rPr>
                <w:b w:val="false"/>
                <w:bCs w:val="false"/>
                <w:sz w:val="20"/>
                <w:szCs w:val="20"/>
              </w:rPr>
              <w:t xml:space="preserve">Fungicide class, crop rotation</w:t>
            </w:r>
          </w:p>
        </w:tc>
        <w:tc>
          <w:tcPr>
            <w:tcW w:type="dxa" w:w="1320"/>
            <w:tcMar>
              <w:top w:type="dxa" w:w="100"/>
              <w:left w:type="dxa" w:w="120"/>
              <w:bottom w:type="dxa" w:w="100"/>
              <w:right w:type="dxa" w:w="120"/>
            </w:tcMar>
            <w:vAlign w:val="center"/>
          </w:tcPr>
          <w:p>
            <w:pPr>
              <w:spacing w:after="0"/>
            </w:pPr>
            <w:r>
              <w:rPr>
                <w:b w:val="false"/>
                <w:bCs w:val="false"/>
                <w:sz w:val="20"/>
                <w:szCs w:val="20"/>
              </w:rPr>
              <w:t xml:space="preserve">Ministry of Agriculture manual</w:t>
            </w:r>
          </w:p>
        </w:tc>
      </w:tr>
      <w:tr>
        <w:tc>
          <w:tcPr>
            <w:tcW w:type="dxa" w:w="900"/>
            <w:tcMar>
              <w:top w:type="dxa" w:w="100"/>
              <w:left w:type="dxa" w:w="120"/>
              <w:bottom w:type="dxa" w:w="100"/>
              <w:right w:type="dxa" w:w="120"/>
            </w:tcMar>
            <w:vAlign w:val="center"/>
          </w:tcPr>
          <w:p>
            <w:pPr>
              <w:spacing w:after="0"/>
            </w:pPr>
            <w:r>
              <w:rPr>
                <w:b w:val="false"/>
                <w:bCs w:val="false"/>
                <w:sz w:val="20"/>
                <w:szCs w:val="20"/>
              </w:rPr>
              <w:t xml:space="preserve">Bean</w:t>
            </w:r>
          </w:p>
        </w:tc>
        <w:tc>
          <w:tcPr>
            <w:tcW w:type="dxa" w:w="1200"/>
            <w:tcMar>
              <w:top w:type="dxa" w:w="100"/>
              <w:left w:type="dxa" w:w="120"/>
              <w:bottom w:type="dxa" w:w="100"/>
              <w:right w:type="dxa" w:w="120"/>
            </w:tcMar>
            <w:vAlign w:val="center"/>
          </w:tcPr>
          <w:p>
            <w:pPr>
              <w:spacing w:after="0"/>
            </w:pPr>
            <w:r>
              <w:rPr>
                <w:b w:val="false"/>
                <w:bCs w:val="false"/>
                <w:sz w:val="20"/>
                <w:szCs w:val="20"/>
              </w:rPr>
              <w:t xml:space="preserve">Angular leaf spot</w:t>
            </w:r>
          </w:p>
        </w:tc>
        <w:tc>
          <w:tcPr>
            <w:tcW w:type="dxa" w:w="2400"/>
            <w:tcMar>
              <w:top w:type="dxa" w:w="100"/>
              <w:left w:type="dxa" w:w="120"/>
              <w:bottom w:type="dxa" w:w="100"/>
              <w:right w:type="dxa" w:w="120"/>
            </w:tcMar>
            <w:vAlign w:val="center"/>
          </w:tcPr>
          <w:p>
            <w:pPr>
              <w:spacing w:after="0"/>
            </w:pPr>
            <w:r>
              <w:rPr>
                <w:b w:val="false"/>
                <w:bCs w:val="false"/>
                <w:sz w:val="20"/>
                <w:szCs w:val="20"/>
              </w:rPr>
              <w:t xml:space="preserve">Angular brown lesions bound by leaf veins, occasional yellow halo</w:t>
            </w:r>
          </w:p>
        </w:tc>
        <w:tc>
          <w:tcPr>
            <w:tcW w:type="dxa" w:w="1600"/>
            <w:tcMar>
              <w:top w:type="dxa" w:w="100"/>
              <w:left w:type="dxa" w:w="120"/>
              <w:bottom w:type="dxa" w:w="100"/>
              <w:right w:type="dxa" w:w="120"/>
            </w:tcMar>
            <w:vAlign w:val="center"/>
          </w:tcPr>
          <w:p>
            <w:pPr>
              <w:spacing w:after="0"/>
            </w:pPr>
            <w:r>
              <w:rPr>
                <w:b w:val="false"/>
                <w:bCs w:val="false"/>
                <w:sz w:val="20"/>
                <w:szCs w:val="20"/>
              </w:rPr>
              <w:t xml:space="preserve">Lesion spread rate</w:t>
            </w:r>
          </w:p>
        </w:tc>
        <w:tc>
          <w:tcPr>
            <w:tcW w:type="dxa" w:w="1600"/>
            <w:tcMar>
              <w:top w:type="dxa" w:w="100"/>
              <w:left w:type="dxa" w:w="120"/>
              <w:bottom w:type="dxa" w:w="100"/>
              <w:right w:type="dxa" w:w="120"/>
            </w:tcMar>
            <w:vAlign w:val="center"/>
          </w:tcPr>
          <w:p>
            <w:pPr>
              <w:spacing w:after="0"/>
            </w:pPr>
            <w:r>
              <w:rPr>
                <w:b w:val="false"/>
                <w:bCs w:val="false"/>
                <w:sz w:val="20"/>
                <w:szCs w:val="20"/>
              </w:rPr>
              <w:t xml:space="preserve">Bactericide class, seed treatment</w:t>
            </w:r>
          </w:p>
        </w:tc>
        <w:tc>
          <w:tcPr>
            <w:tcW w:type="dxa" w:w="1320"/>
            <w:tcMar>
              <w:top w:type="dxa" w:w="100"/>
              <w:left w:type="dxa" w:w="120"/>
              <w:bottom w:type="dxa" w:w="100"/>
              <w:right w:type="dxa" w:w="120"/>
            </w:tcMar>
            <w:vAlign w:val="center"/>
          </w:tcPr>
          <w:p>
            <w:pPr>
              <w:spacing w:after="0"/>
            </w:pPr>
            <w:r>
              <w:rPr>
                <w:b w:val="false"/>
                <w:bCs w:val="false"/>
                <w:sz w:val="20"/>
                <w:szCs w:val="20"/>
              </w:rPr>
              <w:t xml:space="preserve">KALRO extension guide</w:t>
            </w:r>
          </w:p>
        </w:tc>
      </w:tr>
      <w:tr>
        <w:tc>
          <w:tcPr>
            <w:tcW w:type="dxa" w:w="900"/>
            <w:tcMar>
              <w:top w:type="dxa" w:w="100"/>
              <w:left w:type="dxa" w:w="120"/>
              <w:bottom w:type="dxa" w:w="100"/>
              <w:right w:type="dxa" w:w="120"/>
            </w:tcMar>
            <w:vAlign w:val="center"/>
          </w:tcPr>
          <w:p>
            <w:pPr>
              <w:spacing w:after="0"/>
            </w:pPr>
            <w:r>
              <w:rPr>
                <w:b w:val="false"/>
                <w:bCs w:val="false"/>
                <w:sz w:val="20"/>
                <w:szCs w:val="20"/>
              </w:rPr>
              <w:t xml:space="preserve">Potato</w:t>
            </w:r>
          </w:p>
        </w:tc>
        <w:tc>
          <w:tcPr>
            <w:tcW w:type="dxa" w:w="1200"/>
            <w:tcMar>
              <w:top w:type="dxa" w:w="100"/>
              <w:left w:type="dxa" w:w="120"/>
              <w:bottom w:type="dxa" w:w="100"/>
              <w:right w:type="dxa" w:w="120"/>
            </w:tcMar>
            <w:vAlign w:val="center"/>
          </w:tcPr>
          <w:p>
            <w:pPr>
              <w:spacing w:after="0"/>
            </w:pPr>
            <w:r>
              <w:rPr>
                <w:b w:val="false"/>
                <w:bCs w:val="false"/>
                <w:sz w:val="20"/>
                <w:szCs w:val="20"/>
              </w:rPr>
              <w:t xml:space="preserve">Late blight</w:t>
            </w:r>
          </w:p>
        </w:tc>
        <w:tc>
          <w:tcPr>
            <w:tcW w:type="dxa" w:w="2400"/>
            <w:tcMar>
              <w:top w:type="dxa" w:w="100"/>
              <w:left w:type="dxa" w:w="120"/>
              <w:bottom w:type="dxa" w:w="100"/>
              <w:right w:type="dxa" w:w="120"/>
            </w:tcMar>
            <w:vAlign w:val="center"/>
          </w:tcPr>
          <w:p>
            <w:pPr>
              <w:spacing w:after="0"/>
            </w:pPr>
            <w:r>
              <w:rPr>
                <w:b w:val="false"/>
                <w:bCs w:val="false"/>
                <w:sz w:val="20"/>
                <w:szCs w:val="20"/>
              </w:rPr>
              <w:t xml:space="preserve">Water soaked lesions turning brown to black, white mould on leaf undersides in humid conditions</w:t>
            </w:r>
          </w:p>
        </w:tc>
        <w:tc>
          <w:tcPr>
            <w:tcW w:type="dxa" w:w="1600"/>
            <w:tcMar>
              <w:top w:type="dxa" w:w="100"/>
              <w:left w:type="dxa" w:w="120"/>
              <w:bottom w:type="dxa" w:w="100"/>
              <w:right w:type="dxa" w:w="120"/>
            </w:tcMar>
            <w:vAlign w:val="center"/>
          </w:tcPr>
          <w:p>
            <w:pPr>
              <w:spacing w:after="0"/>
            </w:pPr>
            <w:r>
              <w:rPr>
                <w:b w:val="false"/>
                <w:bCs w:val="false"/>
                <w:sz w:val="20"/>
                <w:szCs w:val="20"/>
              </w:rPr>
              <w:t xml:space="preserve">Speed of spread, stem involvement</w:t>
            </w:r>
          </w:p>
        </w:tc>
        <w:tc>
          <w:tcPr>
            <w:tcW w:type="dxa" w:w="1600"/>
            <w:tcMar>
              <w:top w:type="dxa" w:w="100"/>
              <w:left w:type="dxa" w:w="120"/>
              <w:bottom w:type="dxa" w:w="100"/>
              <w:right w:type="dxa" w:w="120"/>
            </w:tcMar>
            <w:vAlign w:val="center"/>
          </w:tcPr>
          <w:p>
            <w:pPr>
              <w:spacing w:after="0"/>
            </w:pPr>
            <w:r>
              <w:rPr>
                <w:b w:val="false"/>
                <w:bCs w:val="false"/>
                <w:sz w:val="20"/>
                <w:szCs w:val="20"/>
              </w:rPr>
              <w:t xml:space="preserve">Fungicide class, urgent response</w:t>
            </w:r>
          </w:p>
        </w:tc>
        <w:tc>
          <w:tcPr>
            <w:tcW w:type="dxa" w:w="1320"/>
            <w:tcMar>
              <w:top w:type="dxa" w:w="100"/>
              <w:left w:type="dxa" w:w="120"/>
              <w:bottom w:type="dxa" w:w="100"/>
              <w:right w:type="dxa" w:w="120"/>
            </w:tcMar>
            <w:vAlign w:val="center"/>
          </w:tcPr>
          <w:p>
            <w:pPr>
              <w:spacing w:after="0"/>
            </w:pPr>
            <w:r>
              <w:rPr>
                <w:b w:val="false"/>
                <w:bCs w:val="false"/>
                <w:sz w:val="20"/>
                <w:szCs w:val="20"/>
              </w:rPr>
              <w:t xml:space="preserve">Ministry of Agriculture manual</w:t>
            </w:r>
          </w:p>
        </w:tc>
      </w:tr>
    </w:tbl>
    <w:p>
      <w:pPr>
        <w:spacing w:after="200" w:before="200"/>
      </w:pPr>
    </w:p>
    <w:p>
      <w:pPr>
        <w:spacing w:after="200" w:line="300"/>
        <w:jc w:val="both"/>
      </w:pPr>
      <w:r>
        <w:t xml:space="preserve">Treatment guidance is deliberately kept at the category level, for example fungicide class rather than a specific product or dosage, and is always paired with a recommendation to consult a licensed agrovet, reflecting the ethical and regulatory considerations discussed in section 12. Extending the system to a new crop requires only the addition of new rows to this knowledge base, without retraining any model.</w:t>
      </w:r>
    </w:p>
    <w:p>
      <w:pPr>
        <w:pStyle w:val="Heading2"/>
        <w:spacing w:after="160" w:before="280"/>
      </w:pPr>
      <w:r>
        <w:t xml:space="preserve">6.5 Voice interaction</w:t>
      </w:r>
    </w:p>
    <w:p>
      <w:pPr>
        <w:spacing w:after="200" w:line="300"/>
        <w:jc w:val="both"/>
      </w:pPr>
      <w:r>
        <w:t xml:space="preserve">Voice input is transcribed using an automatic speech recognition model with Kiswahili support, after which the transcript is passed into the same conversational agent used for text interaction. Responses are converted back to speech before being returned to the farmer, so that voice functions as an alternative entry point into the same underlying system rather than a separate pipeline.</w:t>
      </w:r>
    </w:p>
    <w:p>
      <w:pPr>
        <w:pStyle w:val="Heading2"/>
        <w:spacing w:after="160" w:before="280"/>
      </w:pPr>
      <w:r>
        <w:t xml:space="preserve">6.6 Data storage</w:t>
      </w:r>
    </w:p>
    <w:p>
      <w:pPr>
        <w:spacing w:after="200" w:line="300"/>
        <w:jc w:val="both"/>
      </w:pPr>
      <w:r>
        <w:t xml:space="preserve">The system uses a PostgreSQL database for structured data, including user records, conversation history, the disease description knowledge base, and outbreak reports, together with object storage for uploaded images. Uploaded photographs are referenced by a stored link rather than held directly in the database.</w:t>
      </w:r>
    </w:p>
    <w:p>
      <w:pPr>
        <w:pStyle w:val="Heading2"/>
        <w:spacing w:after="160" w:before="280"/>
      </w:pPr>
      <w:r>
        <w:t xml:space="preserve">6.7 Notifications and outbreak awareness</w:t>
      </w:r>
    </w:p>
    <w:p>
      <w:pPr>
        <w:spacing w:after="200" w:line="300"/>
        <w:jc w:val="both"/>
      </w:pPr>
      <w:r>
        <w:t xml:space="preserve">Push notifications, delivered through Firebase Cloud Messaging, alert farmers when a cluster of similar disease diagnoses is detected within a geographic area, or when relevant weather conditions are forecast. For demonstration and evaluation purposes, this component will be seeded with historical or synthetic outbreak data, since a live farmer base generating this data organically is outside the scope of a five month academic project.</w:t>
      </w:r>
    </w:p>
    <w:p>
      <w:pPr>
        <w:pStyle w:val="Heading1"/>
        <w:spacing w:after="200" w:before="360"/>
      </w:pPr>
      <w:r>
        <w:t xml:space="preserve">7. Tools and technologies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D9D9D9" w:val="clear"/>
            <w:tcMar>
              <w:top w:type="dxa" w:w="100"/>
              <w:left w:type="dxa" w:w="120"/>
              <w:bottom w:type="dxa" w:w="100"/>
              <w:right w:type="dxa" w:w="120"/>
            </w:tcMar>
            <w:vAlign w:val="center"/>
          </w:tcPr>
          <w:p>
            <w:pPr>
              <w:spacing w:after="0"/>
            </w:pPr>
            <w:r>
              <w:rPr>
                <w:b/>
                <w:bCs/>
                <w:sz w:val="20"/>
                <w:szCs w:val="20"/>
              </w:rPr>
              <w:t xml:space="preserve">Component</w:t>
            </w:r>
          </w:p>
        </w:tc>
        <w:tc>
          <w:tcPr>
            <w:tcW w:type="dxa" w:w="6020"/>
            <w:shd w:fill="D9D9D9" w:val="clear"/>
            <w:tcMar>
              <w:top w:type="dxa" w:w="100"/>
              <w:left w:type="dxa" w:w="120"/>
              <w:bottom w:type="dxa" w:w="100"/>
              <w:right w:type="dxa" w:w="120"/>
            </w:tcMar>
            <w:vAlign w:val="center"/>
          </w:tcPr>
          <w:p>
            <w:pPr>
              <w:spacing w:after="0"/>
            </w:pPr>
            <w:r>
              <w:rPr>
                <w:b/>
                <w:bCs/>
                <w:sz w:val="20"/>
                <w:szCs w:val="20"/>
              </w:rPr>
              <w:t xml:space="preserve">Technology</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Mobile frontend</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React Native</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Backend and API</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FastAPI (Python)</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Conversational agent</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Large language model with function calling</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Diagnosis engine</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Vision-language model with structured output constraints</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Speech-to-text</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Whisper, with Kiswahili support</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Text-to-speech</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Text-to-speech API with Kiswahili support</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Web search tool</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Search API for large language model tool use</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Weather data</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Weather forecast API</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Relational database</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PostgreSQL</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Object storage</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S3 compatible object storage</w:t>
            </w:r>
          </w:p>
        </w:tc>
      </w:tr>
      <w:tr>
        <w:tc>
          <w:tcPr>
            <w:tcW w:type="dxa" w:w="3000"/>
            <w:tcMar>
              <w:top w:type="dxa" w:w="100"/>
              <w:left w:type="dxa" w:w="120"/>
              <w:bottom w:type="dxa" w:w="100"/>
              <w:right w:type="dxa" w:w="120"/>
            </w:tcMar>
            <w:vAlign w:val="center"/>
          </w:tcPr>
          <w:p>
            <w:pPr>
              <w:spacing w:after="0"/>
            </w:pPr>
            <w:r>
              <w:rPr>
                <w:b w:val="false"/>
                <w:bCs w:val="false"/>
                <w:sz w:val="20"/>
                <w:szCs w:val="20"/>
              </w:rPr>
              <w:t xml:space="preserve">Push notifications</w:t>
            </w:r>
          </w:p>
        </w:tc>
        <w:tc>
          <w:tcPr>
            <w:tcW w:type="dxa" w:w="6020"/>
            <w:tcMar>
              <w:top w:type="dxa" w:w="100"/>
              <w:left w:type="dxa" w:w="120"/>
              <w:bottom w:type="dxa" w:w="100"/>
              <w:right w:type="dxa" w:w="120"/>
            </w:tcMar>
            <w:vAlign w:val="center"/>
          </w:tcPr>
          <w:p>
            <w:pPr>
              <w:spacing w:after="0"/>
            </w:pPr>
            <w:r>
              <w:rPr>
                <w:b w:val="false"/>
                <w:bCs w:val="false"/>
                <w:sz w:val="20"/>
                <w:szCs w:val="20"/>
              </w:rPr>
              <w:t xml:space="preserve">Firebase Cloud Messaging</w:t>
            </w:r>
          </w:p>
        </w:tc>
      </w:tr>
    </w:tbl>
    <w:p>
      <w:pPr>
        <w:spacing w:after="200"/>
      </w:pPr>
    </w:p>
    <w:p>
      <w:pPr>
        <w:pStyle w:val="Heading1"/>
        <w:spacing w:after="200" w:before="360"/>
      </w:pPr>
      <w:r>
        <w:t xml:space="preserve">8. System requirements</w:t>
      </w:r>
    </w:p>
    <w:p>
      <w:pPr>
        <w:pStyle w:val="Heading2"/>
        <w:spacing w:after="160" w:before="280"/>
      </w:pPr>
      <w:r>
        <w:t xml:space="preserve">8.1 Functional requirements</w:t>
      </w:r>
    </w:p>
    <w:p>
      <w:pPr>
        <w:pStyle w:val="ListParagraph"/>
        <w:numPr>
          <w:ilvl w:val="0"/>
          <w:numId w:val="2"/>
        </w:numPr>
        <w:spacing w:after="100" w:line="300"/>
      </w:pPr>
      <w:r>
        <w:t xml:space="preserve">The system shall accept a photograph of a crop leaf and return a disease diagnosis or a clearly labelled general knowledge response.</w:t>
      </w:r>
    </w:p>
    <w:p>
      <w:pPr>
        <w:pStyle w:val="ListParagraph"/>
        <w:numPr>
          <w:ilvl w:val="0"/>
          <w:numId w:val="2"/>
        </w:numPr>
        <w:spacing w:after="100" w:line="300"/>
      </w:pPr>
      <w:r>
        <w:t xml:space="preserve">The system shall support multi-turn conversation, retaining context across a session.</w:t>
      </w:r>
    </w:p>
    <w:p>
      <w:pPr>
        <w:pStyle w:val="ListParagraph"/>
        <w:numPr>
          <w:ilvl w:val="0"/>
          <w:numId w:val="2"/>
        </w:numPr>
        <w:spacing w:after="100" w:line="300"/>
      </w:pPr>
      <w:r>
        <w:t xml:space="preserve">The system shall support both text and voice input and output, in English and Kiswahili.</w:t>
      </w:r>
    </w:p>
    <w:p>
      <w:pPr>
        <w:pStyle w:val="ListParagraph"/>
        <w:numPr>
          <w:ilvl w:val="0"/>
          <w:numId w:val="2"/>
        </w:numPr>
        <w:spacing w:after="100" w:line="300"/>
      </w:pPr>
      <w:r>
        <w:t xml:space="preserve">The system shall retrieve current weather information relevant to the farmer’s location.</w:t>
      </w:r>
    </w:p>
    <w:p>
      <w:pPr>
        <w:pStyle w:val="ListParagraph"/>
        <w:numPr>
          <w:ilvl w:val="0"/>
          <w:numId w:val="2"/>
        </w:numPr>
        <w:spacing w:after="100" w:line="300"/>
      </w:pPr>
      <w:r>
        <w:t xml:space="preserve">The system shall retrieve and present web search results when the diagnosis engine cannot confidently answer from its own knowledge base.</w:t>
      </w:r>
    </w:p>
    <w:p>
      <w:pPr>
        <w:pStyle w:val="ListParagraph"/>
        <w:numPr>
          <w:ilvl w:val="0"/>
          <w:numId w:val="2"/>
        </w:numPr>
        <w:spacing w:after="100" w:line="300"/>
      </w:pPr>
      <w:r>
        <w:t xml:space="preserve">The system shall send push notifications for detected disease outbreaks and relevant weather alerts.</w:t>
      </w:r>
    </w:p>
    <w:p>
      <w:pPr>
        <w:pStyle w:val="Heading2"/>
        <w:spacing w:after="160" w:before="280"/>
      </w:pPr>
      <w:r>
        <w:t xml:space="preserve">8.2 Non-functional requirements</w:t>
      </w:r>
    </w:p>
    <w:p>
      <w:pPr>
        <w:pStyle w:val="ListParagraph"/>
        <w:numPr>
          <w:ilvl w:val="0"/>
          <w:numId w:val="2"/>
        </w:numPr>
        <w:spacing w:after="100" w:line="300"/>
      </w:pPr>
      <w:r>
        <w:t xml:space="preserve">The system shall clearly distinguish verified, knowledge base backed diagnoses from general, search derived guidance.</w:t>
      </w:r>
    </w:p>
    <w:p>
      <w:pPr>
        <w:pStyle w:val="ListParagraph"/>
        <w:numPr>
          <w:ilvl w:val="0"/>
          <w:numId w:val="2"/>
        </w:numPr>
        <w:spacing w:after="100" w:line="300"/>
      </w:pPr>
      <w:r>
        <w:t xml:space="preserve">The system shall respond to a diagnosis request within a reasonable time to remain usable in a live demonstration setting.</w:t>
      </w:r>
    </w:p>
    <w:p>
      <w:pPr>
        <w:pStyle w:val="ListParagraph"/>
        <w:numPr>
          <w:ilvl w:val="0"/>
          <w:numId w:val="2"/>
        </w:numPr>
        <w:spacing w:after="100" w:line="300"/>
      </w:pPr>
      <w:r>
        <w:t xml:space="preserve">The system shall degrade gracefully and communicate clearly when connectivity is limited or unavailable.</w:t>
      </w:r>
    </w:p>
    <w:p>
      <w:pPr>
        <w:pStyle w:val="ListParagraph"/>
        <w:numPr>
          <w:ilvl w:val="0"/>
          <w:numId w:val="2"/>
        </w:numPr>
        <w:spacing w:after="100" w:line="300"/>
      </w:pPr>
      <w:r>
        <w:t xml:space="preserve">The disease description knowledge base shall be extensible to additional crops without requiring model retraining.</w:t>
      </w:r>
    </w:p>
    <w:p>
      <w:pPr>
        <w:pStyle w:val="Heading1"/>
        <w:spacing w:after="200" w:before="360"/>
      </w:pPr>
      <w:r>
        <w:t xml:space="preserve">9. Project scope and limitations</w:t>
      </w:r>
    </w:p>
    <w:p>
      <w:pPr>
        <w:pStyle w:val="Heading2"/>
        <w:spacing w:after="160" w:before="280"/>
      </w:pPr>
      <w:r>
        <w:t xml:space="preserve">9.1 In scope</w:t>
      </w:r>
    </w:p>
    <w:p>
      <w:pPr>
        <w:pStyle w:val="ListParagraph"/>
        <w:numPr>
          <w:ilvl w:val="0"/>
          <w:numId w:val="2"/>
        </w:numPr>
        <w:spacing w:after="100" w:line="300"/>
      </w:pPr>
      <w:r>
        <w:t xml:space="preserve">Diagnosis support for a defined set of staple Kenyan crops, including maize, beans, tomato, and potato.</w:t>
      </w:r>
    </w:p>
    <w:p>
      <w:pPr>
        <w:pStyle w:val="ListParagraph"/>
        <w:numPr>
          <w:ilvl w:val="0"/>
          <w:numId w:val="2"/>
        </w:numPr>
        <w:spacing w:after="100" w:line="300"/>
      </w:pPr>
      <w:r>
        <w:t xml:space="preserve">Conversational interaction in English and Kiswahili, by text and voice.</w:t>
      </w:r>
    </w:p>
    <w:p>
      <w:pPr>
        <w:pStyle w:val="ListParagraph"/>
        <w:numPr>
          <w:ilvl w:val="0"/>
          <w:numId w:val="2"/>
        </w:numPr>
        <w:spacing w:after="100" w:line="300"/>
      </w:pPr>
      <w:r>
        <w:t xml:space="preserve">Web search grounding, weather retrieval, and a simulated outbreak notification demonstration.</w:t>
      </w:r>
    </w:p>
    <w:p>
      <w:pPr>
        <w:pStyle w:val="ListParagraph"/>
        <w:numPr>
          <w:ilvl w:val="0"/>
          <w:numId w:val="2"/>
        </w:numPr>
        <w:spacing w:after="100" w:line="300"/>
      </w:pPr>
      <w:r>
        <w:t xml:space="preserve">Treatment guidance at the general category level only, with a recommendation to consult a licensed agrovet.</w:t>
      </w:r>
    </w:p>
    <w:p>
      <w:pPr>
        <w:pStyle w:val="Heading2"/>
        <w:spacing w:after="160" w:before="280"/>
      </w:pPr>
      <w:r>
        <w:t xml:space="preserve">9.2 Out of scope for this phase</w:t>
      </w:r>
    </w:p>
    <w:p>
      <w:pPr>
        <w:pStyle w:val="ListParagraph"/>
        <w:numPr>
          <w:ilvl w:val="0"/>
          <w:numId w:val="2"/>
        </w:numPr>
        <w:spacing w:after="100" w:line="300"/>
      </w:pPr>
      <w:r>
        <w:t xml:space="preserve">Support for additional local languages beyond Kiswahili, such as Kikuyu, which is identified as future work due to the limited availability of digital language resources.</w:t>
      </w:r>
    </w:p>
    <w:p>
      <w:pPr>
        <w:pStyle w:val="ListParagraph"/>
        <w:numPr>
          <w:ilvl w:val="0"/>
          <w:numId w:val="2"/>
        </w:numPr>
        <w:spacing w:after="100" w:line="300"/>
      </w:pPr>
      <w:r>
        <w:t xml:space="preserve">Specific pesticide product or dosage recommendations, which raise safety and regulatory considerations beyond the scope of an academic prototype.</w:t>
      </w:r>
    </w:p>
    <w:p>
      <w:pPr>
        <w:pStyle w:val="ListParagraph"/>
        <w:numPr>
          <w:ilvl w:val="0"/>
          <w:numId w:val="2"/>
        </w:numPr>
        <w:spacing w:after="100" w:line="300"/>
      </w:pPr>
      <w:r>
        <w:t xml:space="preserve">Large-scale, live outbreak detection derived from a real, active farmer population.</w:t>
      </w:r>
    </w:p>
    <w:p>
      <w:pPr>
        <w:pStyle w:val="ListParagraph"/>
        <w:numPr>
          <w:ilvl w:val="0"/>
          <w:numId w:val="2"/>
        </w:numPr>
        <w:spacing w:after="100" w:line="300"/>
      </w:pPr>
      <w:r>
        <w:t xml:space="preserve">Livestock or animal health diagnosis.</w:t>
      </w:r>
    </w:p>
    <w:p>
      <w:pPr>
        <w:pStyle w:val="Heading1"/>
        <w:spacing w:after="200" w:before="360"/>
      </w:pPr>
      <w:r>
        <w:t xml:space="preserve">10. Work plan and timeline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7620"/>
      </w:tblGrid>
      <w:tr>
        <w:trPr>
          <w:tblHeader/>
        </w:trPr>
        <w:tc>
          <w:tcPr>
            <w:tcW w:type="dxa" w:w="1400"/>
            <w:shd w:fill="D9D9D9" w:val="clear"/>
            <w:tcMar>
              <w:top w:type="dxa" w:w="100"/>
              <w:left w:type="dxa" w:w="120"/>
              <w:bottom w:type="dxa" w:w="100"/>
              <w:right w:type="dxa" w:w="120"/>
            </w:tcMar>
            <w:vAlign w:val="center"/>
          </w:tcPr>
          <w:p>
            <w:pPr>
              <w:spacing w:after="0"/>
            </w:pPr>
            <w:r>
              <w:rPr>
                <w:b/>
                <w:bCs/>
                <w:sz w:val="20"/>
                <w:szCs w:val="20"/>
              </w:rPr>
              <w:t xml:space="preserve">Month</w:t>
            </w:r>
          </w:p>
        </w:tc>
        <w:tc>
          <w:tcPr>
            <w:tcW w:type="dxa" w:w="7620"/>
            <w:shd w:fill="D9D9D9" w:val="clear"/>
            <w:tcMar>
              <w:top w:type="dxa" w:w="100"/>
              <w:left w:type="dxa" w:w="120"/>
              <w:bottom w:type="dxa" w:w="100"/>
              <w:right w:type="dxa" w:w="120"/>
            </w:tcMar>
            <w:vAlign w:val="center"/>
          </w:tcPr>
          <w:p>
            <w:pPr>
              <w:spacing w:after="0"/>
            </w:pPr>
            <w:r>
              <w:rPr>
                <w:b/>
                <w:bCs/>
                <w:sz w:val="20"/>
                <w:szCs w:val="20"/>
              </w:rPr>
              <w:t xml:space="preserve">Planned activities</w:t>
            </w:r>
          </w:p>
        </w:tc>
      </w:tr>
      <w:tr>
        <w:tc>
          <w:tcPr>
            <w:tcW w:type="dxa" w:w="1400"/>
            <w:tcMar>
              <w:top w:type="dxa" w:w="100"/>
              <w:left w:type="dxa" w:w="120"/>
              <w:bottom w:type="dxa" w:w="100"/>
              <w:right w:type="dxa" w:w="120"/>
            </w:tcMar>
            <w:vAlign w:val="center"/>
          </w:tcPr>
          <w:p>
            <w:pPr>
              <w:spacing w:after="0"/>
            </w:pPr>
            <w:r>
              <w:rPr>
                <w:b w:val="false"/>
                <w:bCs w:val="false"/>
                <w:sz w:val="20"/>
                <w:szCs w:val="20"/>
              </w:rPr>
              <w:t xml:space="preserve">Month 1</w:t>
            </w:r>
          </w:p>
        </w:tc>
        <w:tc>
          <w:tcPr>
            <w:tcW w:type="dxa" w:w="7620"/>
            <w:tcMar>
              <w:top w:type="dxa" w:w="100"/>
              <w:left w:type="dxa" w:w="120"/>
              <w:bottom w:type="dxa" w:w="100"/>
              <w:right w:type="dxa" w:w="120"/>
            </w:tcMar>
            <w:vAlign w:val="center"/>
          </w:tcPr>
          <w:p>
            <w:pPr>
              <w:spacing w:after="0"/>
            </w:pPr>
            <w:r>
              <w:rPr>
                <w:b w:val="false"/>
                <w:bCs w:val="false"/>
                <w:sz w:val="20"/>
                <w:szCs w:val="20"/>
              </w:rPr>
              <w:t xml:space="preserve">Finalise requirements, complete literature review, curate initial disease description knowledge base, set up development environment.</w:t>
            </w:r>
          </w:p>
        </w:tc>
      </w:tr>
      <w:tr>
        <w:tc>
          <w:tcPr>
            <w:tcW w:type="dxa" w:w="1400"/>
            <w:tcMar>
              <w:top w:type="dxa" w:w="100"/>
              <w:left w:type="dxa" w:w="120"/>
              <w:bottom w:type="dxa" w:w="100"/>
              <w:right w:type="dxa" w:w="120"/>
            </w:tcMar>
            <w:vAlign w:val="center"/>
          </w:tcPr>
          <w:p>
            <w:pPr>
              <w:spacing w:after="0"/>
            </w:pPr>
            <w:r>
              <w:rPr>
                <w:b w:val="false"/>
                <w:bCs w:val="false"/>
                <w:sz w:val="20"/>
                <w:szCs w:val="20"/>
              </w:rPr>
              <w:t xml:space="preserve">Month 2</w:t>
            </w:r>
          </w:p>
        </w:tc>
        <w:tc>
          <w:tcPr>
            <w:tcW w:type="dxa" w:w="7620"/>
            <w:tcMar>
              <w:top w:type="dxa" w:w="100"/>
              <w:left w:type="dxa" w:w="120"/>
              <w:bottom w:type="dxa" w:w="100"/>
              <w:right w:type="dxa" w:w="120"/>
            </w:tcMar>
            <w:vAlign w:val="center"/>
          </w:tcPr>
          <w:p>
            <w:pPr>
              <w:spacing w:after="0"/>
            </w:pPr>
            <w:r>
              <w:rPr>
                <w:b w:val="false"/>
                <w:bCs w:val="false"/>
                <w:sz w:val="20"/>
                <w:szCs w:val="20"/>
              </w:rPr>
              <w:t xml:space="preserve">Develop backend scaffolding, database schema, and conversational agent with initial tool calling capability.</w:t>
            </w:r>
          </w:p>
        </w:tc>
      </w:tr>
      <w:tr>
        <w:tc>
          <w:tcPr>
            <w:tcW w:type="dxa" w:w="1400"/>
            <w:tcMar>
              <w:top w:type="dxa" w:w="100"/>
              <w:left w:type="dxa" w:w="120"/>
              <w:bottom w:type="dxa" w:w="100"/>
              <w:right w:type="dxa" w:w="120"/>
            </w:tcMar>
            <w:vAlign w:val="center"/>
          </w:tcPr>
          <w:p>
            <w:pPr>
              <w:spacing w:after="0"/>
            </w:pPr>
            <w:r>
              <w:rPr>
                <w:b w:val="false"/>
                <w:bCs w:val="false"/>
                <w:sz w:val="20"/>
                <w:szCs w:val="20"/>
              </w:rPr>
              <w:t xml:space="preserve">Month 3</w:t>
            </w:r>
          </w:p>
        </w:tc>
        <w:tc>
          <w:tcPr>
            <w:tcW w:type="dxa" w:w="7620"/>
            <w:tcMar>
              <w:top w:type="dxa" w:w="100"/>
              <w:left w:type="dxa" w:w="120"/>
              <w:bottom w:type="dxa" w:w="100"/>
              <w:right w:type="dxa" w:w="120"/>
            </w:tcMar>
            <w:vAlign w:val="center"/>
          </w:tcPr>
          <w:p>
            <w:pPr>
              <w:spacing w:after="0"/>
            </w:pPr>
            <w:r>
              <w:rPr>
                <w:b w:val="false"/>
                <w:bCs w:val="false"/>
                <w:sz w:val="20"/>
                <w:szCs w:val="20"/>
              </w:rPr>
              <w:t xml:space="preserve">Develop the diagnosis engine, including crop identification, structured disease matching, and web search fallback.</w:t>
            </w:r>
          </w:p>
        </w:tc>
      </w:tr>
      <w:tr>
        <w:tc>
          <w:tcPr>
            <w:tcW w:type="dxa" w:w="1400"/>
            <w:tcMar>
              <w:top w:type="dxa" w:w="100"/>
              <w:left w:type="dxa" w:w="120"/>
              <w:bottom w:type="dxa" w:w="100"/>
              <w:right w:type="dxa" w:w="120"/>
            </w:tcMar>
            <w:vAlign w:val="center"/>
          </w:tcPr>
          <w:p>
            <w:pPr>
              <w:spacing w:after="0"/>
            </w:pPr>
            <w:r>
              <w:rPr>
                <w:b w:val="false"/>
                <w:bCs w:val="false"/>
                <w:sz w:val="20"/>
                <w:szCs w:val="20"/>
              </w:rPr>
              <w:t xml:space="preserve">Month 4</w:t>
            </w:r>
          </w:p>
        </w:tc>
        <w:tc>
          <w:tcPr>
            <w:tcW w:type="dxa" w:w="7620"/>
            <w:tcMar>
              <w:top w:type="dxa" w:w="100"/>
              <w:left w:type="dxa" w:w="120"/>
              <w:bottom w:type="dxa" w:w="100"/>
              <w:right w:type="dxa" w:w="120"/>
            </w:tcMar>
            <w:vAlign w:val="center"/>
          </w:tcPr>
          <w:p>
            <w:pPr>
              <w:spacing w:after="0"/>
            </w:pPr>
            <w:r>
              <w:rPr>
                <w:b w:val="false"/>
                <w:bCs w:val="false"/>
                <w:sz w:val="20"/>
                <w:szCs w:val="20"/>
              </w:rPr>
              <w:t xml:space="preserve">Integrate voice interaction, develop the mobile application frontend, implement weather and notification features.</w:t>
            </w:r>
          </w:p>
        </w:tc>
      </w:tr>
      <w:tr>
        <w:tc>
          <w:tcPr>
            <w:tcW w:type="dxa" w:w="1400"/>
            <w:tcMar>
              <w:top w:type="dxa" w:w="100"/>
              <w:left w:type="dxa" w:w="120"/>
              <w:bottom w:type="dxa" w:w="100"/>
              <w:right w:type="dxa" w:w="120"/>
            </w:tcMar>
            <w:vAlign w:val="center"/>
          </w:tcPr>
          <w:p>
            <w:pPr>
              <w:spacing w:after="0"/>
            </w:pPr>
            <w:r>
              <w:rPr>
                <w:b w:val="false"/>
                <w:bCs w:val="false"/>
                <w:sz w:val="20"/>
                <w:szCs w:val="20"/>
              </w:rPr>
              <w:t xml:space="preserve">Month 5</w:t>
            </w:r>
          </w:p>
        </w:tc>
        <w:tc>
          <w:tcPr>
            <w:tcW w:type="dxa" w:w="7620"/>
            <w:tcMar>
              <w:top w:type="dxa" w:w="100"/>
              <w:left w:type="dxa" w:w="120"/>
              <w:bottom w:type="dxa" w:w="100"/>
              <w:right w:type="dxa" w:w="120"/>
            </w:tcMar>
            <w:vAlign w:val="center"/>
          </w:tcPr>
          <w:p>
            <w:pPr>
              <w:spacing w:after="0"/>
            </w:pPr>
            <w:r>
              <w:rPr>
                <w:b w:val="false"/>
                <w:bCs w:val="false"/>
                <w:sz w:val="20"/>
                <w:szCs w:val="20"/>
              </w:rPr>
              <w:t xml:space="preserve">Conduct testing and evaluation under realistic field-like conditions, refine the system, and complete documentation and presentation materials.</w:t>
            </w:r>
          </w:p>
        </w:tc>
      </w:tr>
    </w:tbl>
    <w:p>
      <w:pPr>
        <w:spacing w:after="200"/>
      </w:pPr>
    </w:p>
    <w:p>
      <w:pPr>
        <w:pStyle w:val="Heading1"/>
        <w:spacing w:after="200" w:before="360"/>
      </w:pPr>
      <w:r>
        <w:t xml:space="preserve">11. Expected outcomes and deliverables</w:t>
      </w:r>
    </w:p>
    <w:p>
      <w:pPr>
        <w:pStyle w:val="ListParagraph"/>
        <w:numPr>
          <w:ilvl w:val="0"/>
          <w:numId w:val="2"/>
        </w:numPr>
        <w:spacing w:after="100" w:line="300"/>
      </w:pPr>
      <w:r>
        <w:t xml:space="preserve">A functional mobile application prototype implementing the KilimoAI conversational diagnosis and advisory system.</w:t>
      </w:r>
    </w:p>
    <w:p>
      <w:pPr>
        <w:pStyle w:val="ListParagraph"/>
        <w:numPr>
          <w:ilvl w:val="0"/>
          <w:numId w:val="2"/>
        </w:numPr>
        <w:spacing w:after="100" w:line="300"/>
      </w:pPr>
      <w:r>
        <w:t xml:space="preserve">A curated disease description knowledge base covering the selected staple Kenyan crops.</w:t>
      </w:r>
    </w:p>
    <w:p>
      <w:pPr>
        <w:pStyle w:val="ListParagraph"/>
        <w:numPr>
          <w:ilvl w:val="0"/>
          <w:numId w:val="2"/>
        </w:numPr>
        <w:spacing w:after="100" w:line="300"/>
      </w:pPr>
      <w:r>
        <w:t xml:space="preserve">An evaluation report documenting diagnostic accuracy, system reliability, and usability findings.</w:t>
      </w:r>
    </w:p>
    <w:p>
      <w:pPr>
        <w:pStyle w:val="ListParagraph"/>
        <w:numPr>
          <w:ilvl w:val="0"/>
          <w:numId w:val="2"/>
        </w:numPr>
        <w:spacing w:after="100" w:line="300"/>
      </w:pPr>
      <w:r>
        <w:t xml:space="preserve">Complete project documentation, including this proposal, system design records, and a final project report.</w:t>
      </w:r>
    </w:p>
    <w:p>
      <w:pPr>
        <w:pStyle w:val="Heading1"/>
        <w:spacing w:after="200" w:before="360"/>
      </w:pPr>
      <w:r>
        <w:t xml:space="preserve">12. Ethical considerations</w:t>
      </w:r>
    </w:p>
    <w:p>
      <w:pPr>
        <w:pStyle w:val="ListParagraph"/>
        <w:numPr>
          <w:ilvl w:val="0"/>
          <w:numId w:val="2"/>
        </w:numPr>
        <w:spacing w:after="100" w:line="300"/>
      </w:pPr>
      <w:r>
        <w:t xml:space="preserve">Farmer data, including images and location information, will be handled with appropriate privacy safeguards and will not be shared with third parties beyond what is required for system operation.</w:t>
      </w:r>
    </w:p>
    <w:p>
      <w:pPr>
        <w:pStyle w:val="ListParagraph"/>
        <w:numPr>
          <w:ilvl w:val="0"/>
          <w:numId w:val="2"/>
        </w:numPr>
        <w:spacing w:after="100" w:line="300"/>
      </w:pPr>
      <w:r>
        <w:t xml:space="preserve">The system will avoid providing specific pesticide product or dosage guidance, restricting treatment suggestions to general categories paired with a recommendation to consult a licensed agrovet.</w:t>
      </w:r>
    </w:p>
    <w:p>
      <w:pPr>
        <w:pStyle w:val="ListParagraph"/>
        <w:numPr>
          <w:ilvl w:val="0"/>
          <w:numId w:val="2"/>
        </w:numPr>
        <w:spacing w:after="100" w:line="300"/>
      </w:pPr>
      <w:r>
        <w:t xml:space="preserve">The system will transparently distinguish knowledge base verified diagnoses from general, search derived responses, to avoid overstating the system’s confidence.</w:t>
      </w:r>
    </w:p>
    <w:p>
      <w:pPr>
        <w:pStyle w:val="ListParagraph"/>
        <w:numPr>
          <w:ilvl w:val="0"/>
          <w:numId w:val="2"/>
        </w:numPr>
        <w:spacing w:after="100" w:line="300"/>
      </w:pPr>
      <w:r>
        <w:t xml:space="preserve">The system will be positioned throughout as an assistive tool rather than a replacement for professional agronomic or veterinary advice.</w:t>
      </w:r>
    </w:p>
    <w:p>
      <w:pPr>
        <w:pStyle w:val="Heading1"/>
        <w:spacing w:after="200" w:before="360"/>
      </w:pPr>
      <w:r>
        <w:t xml:space="preserve">13. References</w:t>
      </w:r>
    </w:p>
    <w:p>
      <w:pPr>
        <w:pStyle w:val="ListParagraph"/>
        <w:numPr>
          <w:ilvl w:val="0"/>
          <w:numId w:val="3"/>
        </w:numPr>
        <w:spacing w:after="100" w:line="300"/>
      </w:pPr>
      <w:r>
        <w:t xml:space="preserve">Food and Agriculture Organization of the United Nations. Plant pests and diseases and their impact on global crop production.</w:t>
      </w:r>
    </w:p>
    <w:p>
      <w:pPr>
        <w:pStyle w:val="ListParagraph"/>
        <w:numPr>
          <w:ilvl w:val="0"/>
          <w:numId w:val="3"/>
        </w:numPr>
        <w:spacing w:after="100" w:line="300"/>
      </w:pPr>
      <w:r>
        <w:t xml:space="preserve">Mooraj, H., Pantazopoulos, G., and Suglia, A. (2026). AgriPath: A systematic exploration of architectural trade-offs for crop disease classification.</w:t>
      </w:r>
    </w:p>
    <w:p>
      <w:pPr>
        <w:pStyle w:val="ListParagraph"/>
        <w:numPr>
          <w:ilvl w:val="0"/>
          <w:numId w:val="3"/>
        </w:numPr>
        <w:spacing w:after="100" w:line="300"/>
      </w:pPr>
      <w:r>
        <w:t xml:space="preserve">Pan, J., Zhong, R., Xia, F., Huang, J., Zhu, L., Yang, Y., and Lin, T. (2025). ChatLeafDisease: A chain-of-thought prompting approach for crop disease classification using large language models. Plant Phenomics.</w:t>
      </w:r>
    </w:p>
    <w:p>
      <w:pPr>
        <w:pStyle w:val="ListParagraph"/>
        <w:numPr>
          <w:ilvl w:val="0"/>
          <w:numId w:val="3"/>
        </w:numPr>
        <w:spacing w:after="100" w:line="300"/>
      </w:pPr>
      <w:r>
        <w:t xml:space="preserve">Musazade, E., Mrisho, I. I., Gao, J., and Feng, X. (2026). Integration of LLMs and VLMs in plant stress phenotyping: From trait recognition to decision support. Plant Phenomics.</w:t>
      </w:r>
    </w:p>
    <w:p>
      <w:pPr>
        <w:pStyle w:val="ListParagraph"/>
        <w:numPr>
          <w:ilvl w:val="0"/>
          <w:numId w:val="3"/>
        </w:numPr>
        <w:spacing w:after="100" w:line="300"/>
      </w:pPr>
      <w:r>
        <w:t xml:space="preserve">Hughes, D. P., and Salathe, M. (2016). An open access repository of images on plant health to enable the development of mobile disease diagnostics.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KilimoAI Project Proposal – James Mwaura – COM/3068/24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b/>
      <w:bCs/>
      <w:color w:val="1F1F1F"/>
      <w:sz w:val="28"/>
      <w:szCs w:val="28"/>
    </w:rPr>
  </w:style>
  <w:style w:type="paragraph" w:styleId="Heading2">
    <w:name w:val="Heading 2"/>
    <w:basedOn w:val="Normal"/>
    <w:next w:val="Normal"/>
    <w:qFormat/>
    <w:pPr>
      <w:spacing w:after="160" w:before="280"/>
    </w:pPr>
    <w:rPr>
      <w:b/>
      <w:bCs/>
      <w:color w:val="2E2E2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2026-07-19T08:18:17.415Z</dcterms:created>
  <dcterms:modified xsi:type="dcterms:W3CDTF">2026-07-19T08:18:17.430Z</dcterms:modified>
</cp:coreProperties>
</file>

<file path=docProps/custom.xml><?xml version="1.0" encoding="utf-8"?>
<Properties xmlns="http://schemas.openxmlformats.org/officeDocument/2006/custom-properties" xmlns:vt="http://schemas.openxmlformats.org/officeDocument/2006/docPropsVTypes"/>
</file>