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0D1" w:rsidRPr="001070D1" w:rsidRDefault="001070D1" w:rsidP="001070D1">
      <w:pPr>
        <w:spacing w:after="0" w:line="240" w:lineRule="auto"/>
        <w:rPr>
          <w:rFonts w:ascii="Times New Roman" w:eastAsia="Times New Roman" w:hAnsi="Times New Roman" w:cs="Times New Roman"/>
          <w:sz w:val="24"/>
          <w:szCs w:val="24"/>
        </w:rPr>
      </w:pPr>
    </w:p>
    <w:p w:rsidR="001070D1" w:rsidRPr="001070D1" w:rsidRDefault="001070D1" w:rsidP="001070D1">
      <w:pPr>
        <w:numPr>
          <w:ilvl w:val="0"/>
          <w:numId w:val="5"/>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1070D1">
        <w:rPr>
          <w:rFonts w:ascii="Times New Roman" w:eastAsia="Times New Roman" w:hAnsi="Times New Roman" w:cs="Times New Roman"/>
          <w:b/>
          <w:bCs/>
          <w:sz w:val="36"/>
          <w:szCs w:val="36"/>
        </w:rPr>
        <w:t>Module 1: Context Analysis</w:t>
      </w:r>
    </w:p>
    <w:p w:rsidR="001070D1" w:rsidRPr="001070D1" w:rsidRDefault="001070D1" w:rsidP="001070D1">
      <w:pPr>
        <w:spacing w:before="100" w:beforeAutospacing="1" w:after="100" w:afterAutospacing="1" w:line="240" w:lineRule="auto"/>
        <w:outlineLvl w:val="2"/>
        <w:rPr>
          <w:rFonts w:ascii="Times New Roman" w:eastAsia="Times New Roman" w:hAnsi="Times New Roman" w:cs="Times New Roman"/>
          <w:b/>
          <w:bCs/>
          <w:sz w:val="27"/>
          <w:szCs w:val="27"/>
        </w:rPr>
      </w:pPr>
      <w:r w:rsidRPr="001070D1">
        <w:rPr>
          <w:rFonts w:ascii="Times New Roman" w:eastAsia="Times New Roman" w:hAnsi="Times New Roman" w:cs="Times New Roman"/>
          <w:b/>
          <w:bCs/>
          <w:sz w:val="27"/>
          <w:szCs w:val="27"/>
        </w:rPr>
        <w:t>Sustainable Development Context</w:t>
      </w:r>
    </w:p>
    <w:p w:rsidR="001070D1" w:rsidRPr="001070D1" w:rsidRDefault="001070D1" w:rsidP="001070D1">
      <w:pPr>
        <w:spacing w:before="100" w:beforeAutospacing="1" w:after="100" w:afterAutospacing="1" w:line="240" w:lineRule="auto"/>
        <w:outlineLvl w:val="3"/>
        <w:rPr>
          <w:rFonts w:ascii="Times New Roman" w:eastAsia="Times New Roman" w:hAnsi="Times New Roman" w:cs="Times New Roman"/>
          <w:b/>
          <w:bCs/>
          <w:sz w:val="24"/>
          <w:szCs w:val="24"/>
        </w:rPr>
      </w:pPr>
      <w:r w:rsidRPr="001070D1">
        <w:rPr>
          <w:rFonts w:ascii="Times New Roman" w:eastAsia="Times New Roman" w:hAnsi="Times New Roman" w:cs="Times New Roman"/>
          <w:b/>
          <w:bCs/>
          <w:sz w:val="24"/>
          <w:szCs w:val="24"/>
        </w:rPr>
        <w:t>Scope and Identification</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Kenya and the East African region continue to face overlapping challenges in </w:t>
      </w:r>
      <w:r w:rsidRPr="001070D1">
        <w:rPr>
          <w:rFonts w:ascii="Times New Roman" w:eastAsia="Times New Roman" w:hAnsi="Times New Roman" w:cs="Times New Roman"/>
          <w:b/>
          <w:bCs/>
          <w:sz w:val="24"/>
          <w:szCs w:val="24"/>
        </w:rPr>
        <w:t>public health surveillance</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disease outbreak preparedness</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biodiversity conservation</w:t>
      </w:r>
      <w:r w:rsidRPr="001070D1">
        <w:rPr>
          <w:rFonts w:ascii="Times New Roman" w:eastAsia="Times New Roman" w:hAnsi="Times New Roman" w:cs="Times New Roman"/>
          <w:sz w:val="24"/>
          <w:szCs w:val="24"/>
        </w:rPr>
        <w:t xml:space="preserve">, all of which increasingly rely on data-driven systems. The </w:t>
      </w:r>
      <w:r w:rsidRPr="001070D1">
        <w:rPr>
          <w:rFonts w:ascii="Times New Roman" w:eastAsia="Times New Roman" w:hAnsi="Times New Roman" w:cs="Times New Roman"/>
          <w:b/>
          <w:bCs/>
          <w:sz w:val="24"/>
          <w:szCs w:val="24"/>
        </w:rPr>
        <w:t>Kenya Institute of Primate Research (KIPRE)</w:t>
      </w:r>
      <w:r w:rsidRPr="001070D1">
        <w:rPr>
          <w:rFonts w:ascii="Times New Roman" w:eastAsia="Times New Roman" w:hAnsi="Times New Roman" w:cs="Times New Roman"/>
          <w:sz w:val="24"/>
          <w:szCs w:val="24"/>
        </w:rPr>
        <w:t xml:space="preserve"> generates extensive biomedical, ecological, and primatological datasets but lacks an integrated </w:t>
      </w:r>
      <w:r w:rsidRPr="001070D1">
        <w:rPr>
          <w:rFonts w:ascii="Times New Roman" w:eastAsia="Times New Roman" w:hAnsi="Times New Roman" w:cs="Times New Roman"/>
          <w:b/>
          <w:bCs/>
          <w:sz w:val="24"/>
          <w:szCs w:val="24"/>
        </w:rPr>
        <w:t>data science infrastructure</w:t>
      </w:r>
      <w:r w:rsidRPr="001070D1">
        <w:rPr>
          <w:rFonts w:ascii="Times New Roman" w:eastAsia="Times New Roman" w:hAnsi="Times New Roman" w:cs="Times New Roman"/>
          <w:sz w:val="24"/>
          <w:szCs w:val="24"/>
        </w:rPr>
        <w:t xml:space="preserve"> to translate these data into actionable knowledge.</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This structural gap disproportionately affects </w:t>
      </w:r>
      <w:proofErr w:type="spellStart"/>
      <w:r w:rsidRPr="001070D1">
        <w:rPr>
          <w:rFonts w:ascii="Times New Roman" w:eastAsia="Times New Roman" w:hAnsi="Times New Roman" w:cs="Times New Roman"/>
          <w:b/>
          <w:bCs/>
          <w:sz w:val="24"/>
          <w:szCs w:val="24"/>
        </w:rPr>
        <w:t>marginalised</w:t>
      </w:r>
      <w:proofErr w:type="spellEnd"/>
      <w:r w:rsidRPr="001070D1">
        <w:rPr>
          <w:rFonts w:ascii="Times New Roman" w:eastAsia="Times New Roman" w:hAnsi="Times New Roman" w:cs="Times New Roman"/>
          <w:b/>
          <w:bCs/>
          <w:sz w:val="24"/>
          <w:szCs w:val="24"/>
        </w:rPr>
        <w:t xml:space="preserve"> and at-risk populations</w:t>
      </w:r>
      <w:r w:rsidRPr="001070D1">
        <w:rPr>
          <w:rFonts w:ascii="Times New Roman" w:eastAsia="Times New Roman" w:hAnsi="Times New Roman" w:cs="Times New Roman"/>
          <w:sz w:val="24"/>
          <w:szCs w:val="24"/>
        </w:rPr>
        <w:t xml:space="preserve">—particularly those in resource-limited rural and </w:t>
      </w:r>
      <w:proofErr w:type="spellStart"/>
      <w:r w:rsidRPr="001070D1">
        <w:rPr>
          <w:rFonts w:ascii="Times New Roman" w:eastAsia="Times New Roman" w:hAnsi="Times New Roman" w:cs="Times New Roman"/>
          <w:sz w:val="24"/>
          <w:szCs w:val="24"/>
        </w:rPr>
        <w:t>peri</w:t>
      </w:r>
      <w:proofErr w:type="spellEnd"/>
      <w:r w:rsidRPr="001070D1">
        <w:rPr>
          <w:rFonts w:ascii="Times New Roman" w:eastAsia="Times New Roman" w:hAnsi="Times New Roman" w:cs="Times New Roman"/>
          <w:sz w:val="24"/>
          <w:szCs w:val="24"/>
        </w:rPr>
        <w:t xml:space="preserve">-urban communities—who are most exposed to </w:t>
      </w:r>
      <w:r w:rsidRPr="001070D1">
        <w:rPr>
          <w:rFonts w:ascii="Times New Roman" w:eastAsia="Times New Roman" w:hAnsi="Times New Roman" w:cs="Times New Roman"/>
          <w:b/>
          <w:bCs/>
          <w:sz w:val="24"/>
          <w:szCs w:val="24"/>
        </w:rPr>
        <w:t>infectious and neglected tropical diseases</w:t>
      </w:r>
      <w:r w:rsidRPr="001070D1">
        <w:rPr>
          <w:rFonts w:ascii="Times New Roman" w:eastAsia="Times New Roman" w:hAnsi="Times New Roman" w:cs="Times New Roman"/>
          <w:sz w:val="24"/>
          <w:szCs w:val="24"/>
        </w:rPr>
        <w:t xml:space="preserve"> and least represented in national data systems. By strengthening analytical capacity and inclusive data governance, this project aligns with the </w:t>
      </w:r>
      <w:r w:rsidRPr="001070D1">
        <w:rPr>
          <w:rFonts w:ascii="Times New Roman" w:eastAsia="Times New Roman" w:hAnsi="Times New Roman" w:cs="Times New Roman"/>
          <w:b/>
          <w:bCs/>
          <w:sz w:val="24"/>
          <w:szCs w:val="24"/>
        </w:rPr>
        <w:t>SDG principle of Leaving No One Behind</w:t>
      </w:r>
      <w:r w:rsidRPr="001070D1">
        <w:rPr>
          <w:rFonts w:ascii="Times New Roman" w:eastAsia="Times New Roman" w:hAnsi="Times New Roman" w:cs="Times New Roman"/>
          <w:sz w:val="24"/>
          <w:szCs w:val="24"/>
        </w:rPr>
        <w:t>, ensuring equitable access to data-driven health innovations and evidence-informed policies.</w:t>
      </w:r>
    </w:p>
    <w:p w:rsidR="001070D1" w:rsidRPr="001070D1" w:rsidRDefault="001070D1" w:rsidP="001070D1">
      <w:pPr>
        <w:spacing w:before="100" w:beforeAutospacing="1" w:after="100" w:afterAutospacing="1" w:line="240" w:lineRule="auto"/>
        <w:outlineLvl w:val="3"/>
        <w:rPr>
          <w:rFonts w:ascii="Times New Roman" w:eastAsia="Times New Roman" w:hAnsi="Times New Roman" w:cs="Times New Roman"/>
          <w:b/>
          <w:bCs/>
          <w:sz w:val="24"/>
          <w:szCs w:val="24"/>
        </w:rPr>
      </w:pPr>
      <w:r w:rsidRPr="001070D1">
        <w:rPr>
          <w:rFonts w:ascii="Times New Roman" w:eastAsia="Times New Roman" w:hAnsi="Times New Roman" w:cs="Times New Roman"/>
          <w:b/>
          <w:bCs/>
          <w:sz w:val="24"/>
          <w:szCs w:val="24"/>
        </w:rPr>
        <w:t>Underlying Causes and Actors</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Persistent fragmentation in data and analytics across health, environment, and conservation sectors arises </w:t>
      </w:r>
      <w:proofErr w:type="gramStart"/>
      <w:r w:rsidRPr="001070D1">
        <w:rPr>
          <w:rFonts w:ascii="Times New Roman" w:eastAsia="Times New Roman" w:hAnsi="Times New Roman" w:cs="Times New Roman"/>
          <w:sz w:val="24"/>
          <w:szCs w:val="24"/>
        </w:rPr>
        <w:t>from</w:t>
      </w:r>
      <w:proofErr w:type="gramEnd"/>
      <w:r w:rsidRPr="001070D1">
        <w:rPr>
          <w:rFonts w:ascii="Times New Roman" w:eastAsia="Times New Roman" w:hAnsi="Times New Roman" w:cs="Times New Roman"/>
          <w:sz w:val="24"/>
          <w:szCs w:val="24"/>
        </w:rPr>
        <w:t>:</w:t>
      </w:r>
    </w:p>
    <w:p w:rsidR="001070D1" w:rsidRPr="001070D1" w:rsidRDefault="001070D1" w:rsidP="001070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b/>
          <w:bCs/>
          <w:sz w:val="24"/>
          <w:szCs w:val="24"/>
        </w:rPr>
        <w:t>Disjointed data management systems</w:t>
      </w:r>
      <w:r w:rsidRPr="001070D1">
        <w:rPr>
          <w:rFonts w:ascii="Times New Roman" w:eastAsia="Times New Roman" w:hAnsi="Times New Roman" w:cs="Times New Roman"/>
          <w:sz w:val="24"/>
          <w:szCs w:val="24"/>
        </w:rPr>
        <w:t xml:space="preserve"> across public institutions.</w:t>
      </w:r>
    </w:p>
    <w:p w:rsidR="001070D1" w:rsidRPr="001070D1" w:rsidRDefault="001070D1" w:rsidP="001070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b/>
          <w:bCs/>
          <w:sz w:val="24"/>
          <w:szCs w:val="24"/>
        </w:rPr>
        <w:t>Limited human capacity</w:t>
      </w:r>
      <w:r w:rsidRPr="001070D1">
        <w:rPr>
          <w:rFonts w:ascii="Times New Roman" w:eastAsia="Times New Roman" w:hAnsi="Times New Roman" w:cs="Times New Roman"/>
          <w:sz w:val="24"/>
          <w:szCs w:val="24"/>
        </w:rPr>
        <w:t xml:space="preserve"> in advanced biostatistics, bioinformatics, and machine learning.</w:t>
      </w:r>
    </w:p>
    <w:p w:rsidR="001070D1" w:rsidRPr="001070D1" w:rsidRDefault="001070D1" w:rsidP="001070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b/>
          <w:bCs/>
          <w:sz w:val="24"/>
          <w:szCs w:val="24"/>
        </w:rPr>
        <w:t>Weak institutional data governance</w:t>
      </w:r>
      <w:r w:rsidRPr="001070D1">
        <w:rPr>
          <w:rFonts w:ascii="Times New Roman" w:eastAsia="Times New Roman" w:hAnsi="Times New Roman" w:cs="Times New Roman"/>
          <w:sz w:val="24"/>
          <w:szCs w:val="24"/>
        </w:rPr>
        <w:t xml:space="preserve"> and poor adherence to </w:t>
      </w:r>
      <w:r w:rsidRPr="001070D1">
        <w:rPr>
          <w:rFonts w:ascii="Times New Roman" w:eastAsia="Times New Roman" w:hAnsi="Times New Roman" w:cs="Times New Roman"/>
          <w:b/>
          <w:bCs/>
          <w:sz w:val="24"/>
          <w:szCs w:val="24"/>
        </w:rPr>
        <w:t>FAIR (Findable, Accessible, Interoperable, Reusable)</w:t>
      </w:r>
      <w:r w:rsidRPr="001070D1">
        <w:rPr>
          <w:rFonts w:ascii="Times New Roman" w:eastAsia="Times New Roman" w:hAnsi="Times New Roman" w:cs="Times New Roman"/>
          <w:sz w:val="24"/>
          <w:szCs w:val="24"/>
        </w:rPr>
        <w:t xml:space="preserve"> data principles.</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Key </w:t>
      </w:r>
      <w:proofErr w:type="spellStart"/>
      <w:r w:rsidRPr="001070D1">
        <w:rPr>
          <w:rFonts w:ascii="Times New Roman" w:eastAsia="Times New Roman" w:hAnsi="Times New Roman" w:cs="Times New Roman"/>
          <w:sz w:val="24"/>
          <w:szCs w:val="24"/>
        </w:rPr>
        <w:t>actors</w:t>
      </w:r>
      <w:proofErr w:type="spellEnd"/>
      <w:r w:rsidRPr="001070D1">
        <w:rPr>
          <w:rFonts w:ascii="Times New Roman" w:eastAsia="Times New Roman" w:hAnsi="Times New Roman" w:cs="Times New Roman"/>
          <w:sz w:val="24"/>
          <w:szCs w:val="24"/>
        </w:rPr>
        <w:t xml:space="preserve"> influencing this landscape include </w:t>
      </w:r>
      <w:r w:rsidRPr="001070D1">
        <w:rPr>
          <w:rFonts w:ascii="Times New Roman" w:eastAsia="Times New Roman" w:hAnsi="Times New Roman" w:cs="Times New Roman"/>
          <w:b/>
          <w:bCs/>
          <w:sz w:val="24"/>
          <w:szCs w:val="24"/>
        </w:rPr>
        <w:t>KIPRE</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KEMRI</w:t>
      </w:r>
      <w:r w:rsidRPr="001070D1">
        <w:rPr>
          <w:rFonts w:ascii="Times New Roman" w:eastAsia="Times New Roman" w:hAnsi="Times New Roman" w:cs="Times New Roman"/>
          <w:sz w:val="24"/>
          <w:szCs w:val="24"/>
        </w:rPr>
        <w:t xml:space="preserve">, the </w:t>
      </w:r>
      <w:r w:rsidRPr="001070D1">
        <w:rPr>
          <w:rFonts w:ascii="Times New Roman" w:eastAsia="Times New Roman" w:hAnsi="Times New Roman" w:cs="Times New Roman"/>
          <w:b/>
          <w:bCs/>
          <w:sz w:val="24"/>
          <w:szCs w:val="24"/>
        </w:rPr>
        <w:t>Ministry of Health</w:t>
      </w:r>
      <w:r w:rsidRPr="001070D1">
        <w:rPr>
          <w:rFonts w:ascii="Times New Roman" w:eastAsia="Times New Roman" w:hAnsi="Times New Roman" w:cs="Times New Roman"/>
          <w:sz w:val="24"/>
          <w:szCs w:val="24"/>
        </w:rPr>
        <w:t xml:space="preserve">, universities, and global research partners. However, these actors often work in silos, resulting in duplication and inefficiencies. The project’s design therefore embraces the </w:t>
      </w:r>
      <w:r w:rsidRPr="001070D1">
        <w:rPr>
          <w:rFonts w:ascii="Times New Roman" w:eastAsia="Times New Roman" w:hAnsi="Times New Roman" w:cs="Times New Roman"/>
          <w:b/>
          <w:bCs/>
          <w:sz w:val="24"/>
          <w:szCs w:val="24"/>
        </w:rPr>
        <w:t>SDG principle of Multi-institutional and Multi-stakeholder Partnerships (MIPs/MSPs)</w:t>
      </w:r>
      <w:r w:rsidRPr="001070D1">
        <w:rPr>
          <w:rFonts w:ascii="Times New Roman" w:eastAsia="Times New Roman" w:hAnsi="Times New Roman" w:cs="Times New Roman"/>
          <w:sz w:val="24"/>
          <w:szCs w:val="24"/>
        </w:rPr>
        <w:t>, fostering co-creation, coordination, and mutual accountability between local and international partners.</w:t>
      </w:r>
    </w:p>
    <w:p w:rsidR="001070D1" w:rsidRPr="001070D1" w:rsidRDefault="001070D1" w:rsidP="001070D1">
      <w:pPr>
        <w:spacing w:before="100" w:beforeAutospacing="1" w:after="100" w:afterAutospacing="1" w:line="240" w:lineRule="auto"/>
        <w:outlineLvl w:val="3"/>
        <w:rPr>
          <w:rFonts w:ascii="Times New Roman" w:eastAsia="Times New Roman" w:hAnsi="Times New Roman" w:cs="Times New Roman"/>
          <w:b/>
          <w:bCs/>
          <w:sz w:val="24"/>
          <w:szCs w:val="24"/>
        </w:rPr>
      </w:pPr>
      <w:r w:rsidRPr="001070D1">
        <w:rPr>
          <w:rFonts w:ascii="Times New Roman" w:eastAsia="Times New Roman" w:hAnsi="Times New Roman" w:cs="Times New Roman"/>
          <w:b/>
          <w:bCs/>
          <w:sz w:val="24"/>
          <w:szCs w:val="24"/>
        </w:rPr>
        <w:t>Interlinkages and Indivisibility</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The </w:t>
      </w:r>
      <w:r w:rsidRPr="001070D1">
        <w:rPr>
          <w:rFonts w:ascii="Times New Roman" w:eastAsia="Times New Roman" w:hAnsi="Times New Roman" w:cs="Times New Roman"/>
          <w:b/>
          <w:bCs/>
          <w:sz w:val="24"/>
          <w:szCs w:val="24"/>
        </w:rPr>
        <w:t>One Health framework</w:t>
      </w:r>
      <w:r w:rsidRPr="001070D1">
        <w:rPr>
          <w:rFonts w:ascii="Times New Roman" w:eastAsia="Times New Roman" w:hAnsi="Times New Roman" w:cs="Times New Roman"/>
          <w:sz w:val="24"/>
          <w:szCs w:val="24"/>
        </w:rPr>
        <w:t xml:space="preserve"> underscores the interconnectedness between human, animal, and environmental health. Weak data integration across these domains limits Kenya’s ability to detect outbreaks early, manage climate-linked diseases, and support sustainable conservation. By addressing data fragmentation, this intervention generates </w:t>
      </w:r>
      <w:r w:rsidRPr="001070D1">
        <w:rPr>
          <w:rFonts w:ascii="Times New Roman" w:eastAsia="Times New Roman" w:hAnsi="Times New Roman" w:cs="Times New Roman"/>
          <w:b/>
          <w:bCs/>
          <w:sz w:val="24"/>
          <w:szCs w:val="24"/>
        </w:rPr>
        <w:t>co-benefits</w:t>
      </w:r>
      <w:r w:rsidRPr="001070D1">
        <w:rPr>
          <w:rFonts w:ascii="Times New Roman" w:eastAsia="Times New Roman" w:hAnsi="Times New Roman" w:cs="Times New Roman"/>
          <w:sz w:val="24"/>
          <w:szCs w:val="24"/>
        </w:rPr>
        <w:t xml:space="preserve"> across multiple SDGs—particularly </w:t>
      </w:r>
      <w:r w:rsidRPr="001070D1">
        <w:rPr>
          <w:rFonts w:ascii="Times New Roman" w:eastAsia="Times New Roman" w:hAnsi="Times New Roman" w:cs="Times New Roman"/>
          <w:b/>
          <w:bCs/>
          <w:sz w:val="24"/>
          <w:szCs w:val="24"/>
        </w:rPr>
        <w:t>SDG 3 (Good Health and Well-being)</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SDG 13 (Climate Action)</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SDG 15 (Life on Land)</w:t>
      </w:r>
      <w:r w:rsidRPr="001070D1">
        <w:rPr>
          <w:rFonts w:ascii="Times New Roman" w:eastAsia="Times New Roman" w:hAnsi="Times New Roman" w:cs="Times New Roman"/>
          <w:sz w:val="24"/>
          <w:szCs w:val="24"/>
        </w:rPr>
        <w:t>—while strengthening institutional resilience and policy coherence.</w:t>
      </w:r>
    </w:p>
    <w:p w:rsidR="001070D1" w:rsidRPr="001070D1" w:rsidRDefault="001070D1" w:rsidP="001070D1">
      <w:pPr>
        <w:spacing w:before="100" w:beforeAutospacing="1" w:after="100" w:afterAutospacing="1" w:line="240" w:lineRule="auto"/>
        <w:outlineLvl w:val="2"/>
        <w:rPr>
          <w:rFonts w:ascii="Times New Roman" w:eastAsia="Times New Roman" w:hAnsi="Times New Roman" w:cs="Times New Roman"/>
          <w:b/>
          <w:bCs/>
          <w:sz w:val="27"/>
          <w:szCs w:val="27"/>
        </w:rPr>
      </w:pPr>
      <w:r w:rsidRPr="001070D1">
        <w:rPr>
          <w:rFonts w:ascii="Times New Roman" w:eastAsia="Times New Roman" w:hAnsi="Times New Roman" w:cs="Times New Roman"/>
          <w:b/>
          <w:bCs/>
          <w:sz w:val="27"/>
          <w:szCs w:val="27"/>
        </w:rPr>
        <w:lastRenderedPageBreak/>
        <w:t>Partner Institutional Context</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KIPRE possesses strong scientific capacity in </w:t>
      </w:r>
      <w:r w:rsidRPr="001070D1">
        <w:rPr>
          <w:rFonts w:ascii="Times New Roman" w:eastAsia="Times New Roman" w:hAnsi="Times New Roman" w:cs="Times New Roman"/>
          <w:b/>
          <w:bCs/>
          <w:sz w:val="24"/>
          <w:szCs w:val="24"/>
        </w:rPr>
        <w:t>biomedical and translational research</w:t>
      </w:r>
      <w:r w:rsidRPr="001070D1">
        <w:rPr>
          <w:rFonts w:ascii="Times New Roman" w:eastAsia="Times New Roman" w:hAnsi="Times New Roman" w:cs="Times New Roman"/>
          <w:sz w:val="24"/>
          <w:szCs w:val="24"/>
        </w:rPr>
        <w:t xml:space="preserve"> but remains constrained by gaps in </w:t>
      </w:r>
      <w:r w:rsidRPr="001070D1">
        <w:rPr>
          <w:rFonts w:ascii="Times New Roman" w:eastAsia="Times New Roman" w:hAnsi="Times New Roman" w:cs="Times New Roman"/>
          <w:b/>
          <w:bCs/>
          <w:sz w:val="24"/>
          <w:szCs w:val="24"/>
        </w:rPr>
        <w:t>digital infrastructure</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data governance</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high-level analytics expertise</w:t>
      </w:r>
      <w:r w:rsidRPr="001070D1">
        <w:rPr>
          <w:rFonts w:ascii="Times New Roman" w:eastAsia="Times New Roman" w:hAnsi="Times New Roman" w:cs="Times New Roman"/>
          <w:sz w:val="24"/>
          <w:szCs w:val="24"/>
        </w:rPr>
        <w:t xml:space="preserve">. The establishment of the </w:t>
      </w:r>
      <w:r w:rsidRPr="001070D1">
        <w:rPr>
          <w:rFonts w:ascii="Times New Roman" w:eastAsia="Times New Roman" w:hAnsi="Times New Roman" w:cs="Times New Roman"/>
          <w:b/>
          <w:bCs/>
          <w:sz w:val="24"/>
          <w:szCs w:val="24"/>
        </w:rPr>
        <w:t>Data Science and Analytics Centre (DSAC)</w:t>
      </w:r>
      <w:r w:rsidRPr="001070D1">
        <w:rPr>
          <w:rFonts w:ascii="Times New Roman" w:eastAsia="Times New Roman" w:hAnsi="Times New Roman" w:cs="Times New Roman"/>
          <w:sz w:val="24"/>
          <w:szCs w:val="24"/>
        </w:rPr>
        <w:t xml:space="preserve"> directly addresses these deficits, enabling KIPRE to manage, </w:t>
      </w:r>
      <w:proofErr w:type="spellStart"/>
      <w:r w:rsidRPr="001070D1">
        <w:rPr>
          <w:rFonts w:ascii="Times New Roman" w:eastAsia="Times New Roman" w:hAnsi="Times New Roman" w:cs="Times New Roman"/>
          <w:sz w:val="24"/>
          <w:szCs w:val="24"/>
        </w:rPr>
        <w:t>analyse</w:t>
      </w:r>
      <w:proofErr w:type="spellEnd"/>
      <w:r w:rsidRPr="001070D1">
        <w:rPr>
          <w:rFonts w:ascii="Times New Roman" w:eastAsia="Times New Roman" w:hAnsi="Times New Roman" w:cs="Times New Roman"/>
          <w:sz w:val="24"/>
          <w:szCs w:val="24"/>
        </w:rPr>
        <w:t>, and share complex datasets in line with SDG data principles.</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The partnership with </w:t>
      </w:r>
      <w:r w:rsidRPr="001070D1">
        <w:rPr>
          <w:rFonts w:ascii="Times New Roman" w:eastAsia="Times New Roman" w:hAnsi="Times New Roman" w:cs="Times New Roman"/>
          <w:b/>
          <w:bCs/>
          <w:sz w:val="24"/>
          <w:szCs w:val="24"/>
        </w:rPr>
        <w:t>Hasselt University (UHasselt)</w:t>
      </w:r>
      <w:r w:rsidRPr="001070D1">
        <w:rPr>
          <w:rFonts w:ascii="Times New Roman" w:eastAsia="Times New Roman" w:hAnsi="Times New Roman" w:cs="Times New Roman"/>
          <w:sz w:val="24"/>
          <w:szCs w:val="24"/>
        </w:rPr>
        <w:t xml:space="preserve"> brings expertise in </w:t>
      </w:r>
      <w:r w:rsidRPr="001070D1">
        <w:rPr>
          <w:rFonts w:ascii="Times New Roman" w:eastAsia="Times New Roman" w:hAnsi="Times New Roman" w:cs="Times New Roman"/>
          <w:b/>
          <w:bCs/>
          <w:sz w:val="24"/>
          <w:szCs w:val="24"/>
        </w:rPr>
        <w:t>biostatistics</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bioinformatics</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quantitative epidemiology</w:t>
      </w:r>
      <w:r w:rsidRPr="001070D1">
        <w:rPr>
          <w:rFonts w:ascii="Times New Roman" w:eastAsia="Times New Roman" w:hAnsi="Times New Roman" w:cs="Times New Roman"/>
          <w:sz w:val="24"/>
          <w:szCs w:val="24"/>
        </w:rPr>
        <w:t xml:space="preserve">, alongside experience in </w:t>
      </w:r>
      <w:r w:rsidRPr="001070D1">
        <w:rPr>
          <w:rFonts w:ascii="Times New Roman" w:eastAsia="Times New Roman" w:hAnsi="Times New Roman" w:cs="Times New Roman"/>
          <w:b/>
          <w:bCs/>
          <w:sz w:val="24"/>
          <w:szCs w:val="24"/>
        </w:rPr>
        <w:t>capacity building</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sustainable research collaboration</w:t>
      </w:r>
      <w:r w:rsidRPr="001070D1">
        <w:rPr>
          <w:rFonts w:ascii="Times New Roman" w:eastAsia="Times New Roman" w:hAnsi="Times New Roman" w:cs="Times New Roman"/>
          <w:sz w:val="24"/>
          <w:szCs w:val="24"/>
        </w:rPr>
        <w:t xml:space="preserve">. The partnership </w:t>
      </w:r>
      <w:proofErr w:type="gramStart"/>
      <w:r w:rsidRPr="001070D1">
        <w:rPr>
          <w:rFonts w:ascii="Times New Roman" w:eastAsia="Times New Roman" w:hAnsi="Times New Roman" w:cs="Times New Roman"/>
          <w:sz w:val="24"/>
          <w:szCs w:val="24"/>
        </w:rPr>
        <w:t>is co-created</w:t>
      </w:r>
      <w:proofErr w:type="gramEnd"/>
      <w:r w:rsidRPr="001070D1">
        <w:rPr>
          <w:rFonts w:ascii="Times New Roman" w:eastAsia="Times New Roman" w:hAnsi="Times New Roman" w:cs="Times New Roman"/>
          <w:sz w:val="24"/>
          <w:szCs w:val="24"/>
        </w:rPr>
        <w:t xml:space="preserve"> with local actors to ensure that solutions are context-sensitive, inclusive, and sustainable beyond the project’s duration.</w:t>
      </w:r>
    </w:p>
    <w:p w:rsidR="001070D1" w:rsidRPr="001070D1" w:rsidRDefault="001070D1" w:rsidP="001070D1">
      <w:pPr>
        <w:spacing w:after="0" w:line="240" w:lineRule="auto"/>
        <w:rPr>
          <w:rFonts w:ascii="Times New Roman" w:eastAsia="Times New Roman" w:hAnsi="Times New Roman" w:cs="Times New Roman"/>
          <w:sz w:val="24"/>
          <w:szCs w:val="24"/>
        </w:rPr>
      </w:pPr>
    </w:p>
    <w:p w:rsidR="001070D1" w:rsidRPr="001070D1" w:rsidRDefault="001070D1" w:rsidP="001070D1">
      <w:pPr>
        <w:spacing w:before="100" w:beforeAutospacing="1" w:after="100" w:afterAutospacing="1" w:line="240" w:lineRule="auto"/>
        <w:outlineLvl w:val="2"/>
        <w:rPr>
          <w:rFonts w:ascii="Times New Roman" w:eastAsia="Times New Roman" w:hAnsi="Times New Roman" w:cs="Times New Roman"/>
          <w:b/>
          <w:bCs/>
          <w:sz w:val="27"/>
          <w:szCs w:val="27"/>
        </w:rPr>
      </w:pPr>
      <w:r w:rsidRPr="001070D1">
        <w:rPr>
          <w:rFonts w:ascii="Times New Roman" w:eastAsia="Times New Roman" w:hAnsi="Times New Roman" w:cs="Times New Roman"/>
          <w:b/>
          <w:bCs/>
          <w:sz w:val="27"/>
          <w:szCs w:val="27"/>
        </w:rPr>
        <w:t xml:space="preserve">Individual and </w:t>
      </w:r>
      <w:proofErr w:type="spellStart"/>
      <w:r w:rsidRPr="001070D1">
        <w:rPr>
          <w:rFonts w:ascii="Times New Roman" w:eastAsia="Times New Roman" w:hAnsi="Times New Roman" w:cs="Times New Roman"/>
          <w:b/>
          <w:bCs/>
          <w:sz w:val="27"/>
          <w:szCs w:val="27"/>
        </w:rPr>
        <w:t>Organisational</w:t>
      </w:r>
      <w:proofErr w:type="spellEnd"/>
      <w:r w:rsidRPr="001070D1">
        <w:rPr>
          <w:rFonts w:ascii="Times New Roman" w:eastAsia="Times New Roman" w:hAnsi="Times New Roman" w:cs="Times New Roman"/>
          <w:b/>
          <w:bCs/>
          <w:sz w:val="27"/>
          <w:szCs w:val="27"/>
        </w:rPr>
        <w:t xml:space="preserve"> Capacity-Building Context</w:t>
      </w:r>
    </w:p>
    <w:p w:rsidR="001070D1" w:rsidRPr="001070D1" w:rsidRDefault="001070D1" w:rsidP="001070D1">
      <w:pPr>
        <w:spacing w:before="100" w:beforeAutospacing="1" w:after="100" w:afterAutospacing="1" w:line="240" w:lineRule="auto"/>
        <w:outlineLvl w:val="3"/>
        <w:rPr>
          <w:rFonts w:ascii="Times New Roman" w:eastAsia="Times New Roman" w:hAnsi="Times New Roman" w:cs="Times New Roman"/>
          <w:b/>
          <w:bCs/>
          <w:sz w:val="24"/>
          <w:szCs w:val="24"/>
        </w:rPr>
      </w:pPr>
      <w:r w:rsidRPr="001070D1">
        <w:rPr>
          <w:rFonts w:ascii="Times New Roman" w:eastAsia="Times New Roman" w:hAnsi="Times New Roman" w:cs="Times New Roman"/>
          <w:b/>
          <w:bCs/>
          <w:sz w:val="24"/>
          <w:szCs w:val="24"/>
        </w:rPr>
        <w:t>Capacity Constraints</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At the </w:t>
      </w:r>
      <w:r w:rsidRPr="001070D1">
        <w:rPr>
          <w:rFonts w:ascii="Times New Roman" w:eastAsia="Times New Roman" w:hAnsi="Times New Roman" w:cs="Times New Roman"/>
          <w:b/>
          <w:bCs/>
          <w:sz w:val="24"/>
          <w:szCs w:val="24"/>
        </w:rPr>
        <w:t>individual level</w:t>
      </w:r>
      <w:r w:rsidRPr="001070D1">
        <w:rPr>
          <w:rFonts w:ascii="Times New Roman" w:eastAsia="Times New Roman" w:hAnsi="Times New Roman" w:cs="Times New Roman"/>
          <w:sz w:val="24"/>
          <w:szCs w:val="24"/>
        </w:rPr>
        <w:t xml:space="preserve">, KIPRE scientists, technicians, and ICT officers have limited exposure to advanced data science tools and methods. At the </w:t>
      </w:r>
      <w:proofErr w:type="spellStart"/>
      <w:r w:rsidRPr="001070D1">
        <w:rPr>
          <w:rFonts w:ascii="Times New Roman" w:eastAsia="Times New Roman" w:hAnsi="Times New Roman" w:cs="Times New Roman"/>
          <w:b/>
          <w:bCs/>
          <w:sz w:val="24"/>
          <w:szCs w:val="24"/>
        </w:rPr>
        <w:t>organisational</w:t>
      </w:r>
      <w:proofErr w:type="spellEnd"/>
      <w:r w:rsidRPr="001070D1">
        <w:rPr>
          <w:rFonts w:ascii="Times New Roman" w:eastAsia="Times New Roman" w:hAnsi="Times New Roman" w:cs="Times New Roman"/>
          <w:b/>
          <w:bCs/>
          <w:sz w:val="24"/>
          <w:szCs w:val="24"/>
        </w:rPr>
        <w:t xml:space="preserve"> level</w:t>
      </w:r>
      <w:r w:rsidRPr="001070D1">
        <w:rPr>
          <w:rFonts w:ascii="Times New Roman" w:eastAsia="Times New Roman" w:hAnsi="Times New Roman" w:cs="Times New Roman"/>
          <w:sz w:val="24"/>
          <w:szCs w:val="24"/>
        </w:rPr>
        <w:t>, the absence of structured training, mentorship, and interoperable systems limits innovation and knowledge exchange.</w:t>
      </w:r>
    </w:p>
    <w:p w:rsidR="001070D1" w:rsidRPr="001070D1" w:rsidRDefault="001070D1" w:rsidP="001070D1">
      <w:pPr>
        <w:spacing w:before="100" w:beforeAutospacing="1" w:after="100" w:afterAutospacing="1" w:line="240" w:lineRule="auto"/>
        <w:outlineLvl w:val="3"/>
        <w:rPr>
          <w:rFonts w:ascii="Times New Roman" w:eastAsia="Times New Roman" w:hAnsi="Times New Roman" w:cs="Times New Roman"/>
          <w:b/>
          <w:bCs/>
          <w:sz w:val="24"/>
          <w:szCs w:val="24"/>
        </w:rPr>
      </w:pPr>
      <w:r w:rsidRPr="001070D1">
        <w:rPr>
          <w:rFonts w:ascii="Times New Roman" w:eastAsia="Times New Roman" w:hAnsi="Times New Roman" w:cs="Times New Roman"/>
          <w:b/>
          <w:bCs/>
          <w:sz w:val="24"/>
          <w:szCs w:val="24"/>
        </w:rPr>
        <w:t>Added Value and Transformative Potential</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This project enhances </w:t>
      </w:r>
      <w:r w:rsidRPr="001070D1">
        <w:rPr>
          <w:rFonts w:ascii="Times New Roman" w:eastAsia="Times New Roman" w:hAnsi="Times New Roman" w:cs="Times New Roman"/>
          <w:b/>
          <w:bCs/>
          <w:sz w:val="24"/>
          <w:szCs w:val="24"/>
        </w:rPr>
        <w:t>human capital development</w:t>
      </w:r>
      <w:r w:rsidRPr="001070D1">
        <w:rPr>
          <w:rFonts w:ascii="Times New Roman" w:eastAsia="Times New Roman" w:hAnsi="Times New Roman" w:cs="Times New Roman"/>
          <w:sz w:val="24"/>
          <w:szCs w:val="24"/>
        </w:rPr>
        <w:t xml:space="preserve"> by equipping researchers with competencies in </w:t>
      </w:r>
      <w:r w:rsidRPr="001070D1">
        <w:rPr>
          <w:rFonts w:ascii="Times New Roman" w:eastAsia="Times New Roman" w:hAnsi="Times New Roman" w:cs="Times New Roman"/>
          <w:b/>
          <w:bCs/>
          <w:sz w:val="24"/>
          <w:szCs w:val="24"/>
        </w:rPr>
        <w:t>statistical modelling</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reproducible workflows</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AI-driven analytics</w:t>
      </w:r>
      <w:r w:rsidRPr="001070D1">
        <w:rPr>
          <w:rFonts w:ascii="Times New Roman" w:eastAsia="Times New Roman" w:hAnsi="Times New Roman" w:cs="Times New Roman"/>
          <w:sz w:val="24"/>
          <w:szCs w:val="24"/>
        </w:rPr>
        <w:t xml:space="preserve">, fostering leadership in data science for biomedical and environmental research. Institutionally, the DSAC embeds sustainable structures for </w:t>
      </w:r>
      <w:r w:rsidRPr="001070D1">
        <w:rPr>
          <w:rFonts w:ascii="Times New Roman" w:eastAsia="Times New Roman" w:hAnsi="Times New Roman" w:cs="Times New Roman"/>
          <w:b/>
          <w:bCs/>
          <w:sz w:val="24"/>
          <w:szCs w:val="24"/>
        </w:rPr>
        <w:t>data stewardship</w:t>
      </w:r>
      <w:r w:rsidRPr="001070D1">
        <w:rPr>
          <w:rFonts w:ascii="Times New Roman" w:eastAsia="Times New Roman" w:hAnsi="Times New Roman" w:cs="Times New Roman"/>
          <w:sz w:val="24"/>
          <w:szCs w:val="24"/>
        </w:rPr>
        <w:t xml:space="preserve">, </w:t>
      </w:r>
      <w:r w:rsidRPr="001070D1">
        <w:rPr>
          <w:rFonts w:ascii="Times New Roman" w:eastAsia="Times New Roman" w:hAnsi="Times New Roman" w:cs="Times New Roman"/>
          <w:b/>
          <w:bCs/>
          <w:sz w:val="24"/>
          <w:szCs w:val="24"/>
        </w:rPr>
        <w:t>gender-inclusive training</w:t>
      </w:r>
      <w:r w:rsidRPr="001070D1">
        <w:rPr>
          <w:rFonts w:ascii="Times New Roman" w:eastAsia="Times New Roman" w:hAnsi="Times New Roman" w:cs="Times New Roman"/>
          <w:sz w:val="24"/>
          <w:szCs w:val="24"/>
        </w:rPr>
        <w:t xml:space="preserve">, and </w:t>
      </w:r>
      <w:r w:rsidRPr="001070D1">
        <w:rPr>
          <w:rFonts w:ascii="Times New Roman" w:eastAsia="Times New Roman" w:hAnsi="Times New Roman" w:cs="Times New Roman"/>
          <w:b/>
          <w:bCs/>
          <w:sz w:val="24"/>
          <w:szCs w:val="24"/>
        </w:rPr>
        <w:t>policy translation</w:t>
      </w:r>
      <w:r w:rsidRPr="001070D1">
        <w:rPr>
          <w:rFonts w:ascii="Times New Roman" w:eastAsia="Times New Roman" w:hAnsi="Times New Roman" w:cs="Times New Roman"/>
          <w:sz w:val="24"/>
          <w:szCs w:val="24"/>
        </w:rPr>
        <w:t xml:space="preserve">, ensuring that no researcher or community </w:t>
      </w:r>
      <w:proofErr w:type="gramStart"/>
      <w:r w:rsidRPr="001070D1">
        <w:rPr>
          <w:rFonts w:ascii="Times New Roman" w:eastAsia="Times New Roman" w:hAnsi="Times New Roman" w:cs="Times New Roman"/>
          <w:sz w:val="24"/>
          <w:szCs w:val="24"/>
        </w:rPr>
        <w:t>is excluded</w:t>
      </w:r>
      <w:proofErr w:type="gramEnd"/>
      <w:r w:rsidRPr="001070D1">
        <w:rPr>
          <w:rFonts w:ascii="Times New Roman" w:eastAsia="Times New Roman" w:hAnsi="Times New Roman" w:cs="Times New Roman"/>
          <w:sz w:val="24"/>
          <w:szCs w:val="24"/>
        </w:rPr>
        <w:t xml:space="preserve"> from the data value chain.</w:t>
      </w:r>
    </w:p>
    <w:p w:rsidR="001070D1" w:rsidRPr="001070D1" w:rsidRDefault="001070D1" w:rsidP="001070D1">
      <w:pPr>
        <w:spacing w:before="100" w:beforeAutospacing="1" w:after="100" w:afterAutospacing="1" w:line="240" w:lineRule="auto"/>
        <w:rPr>
          <w:rFonts w:ascii="Times New Roman" w:eastAsia="Times New Roman" w:hAnsi="Times New Roman" w:cs="Times New Roman"/>
          <w:sz w:val="24"/>
          <w:szCs w:val="24"/>
        </w:rPr>
      </w:pPr>
      <w:r w:rsidRPr="001070D1">
        <w:rPr>
          <w:rFonts w:ascii="Times New Roman" w:eastAsia="Times New Roman" w:hAnsi="Times New Roman" w:cs="Times New Roman"/>
          <w:sz w:val="24"/>
          <w:szCs w:val="24"/>
        </w:rPr>
        <w:t xml:space="preserve">Overall, this module situates the project within </w:t>
      </w:r>
      <w:r w:rsidRPr="001070D1">
        <w:rPr>
          <w:rFonts w:ascii="Times New Roman" w:eastAsia="Times New Roman" w:hAnsi="Times New Roman" w:cs="Times New Roman"/>
          <w:b/>
          <w:bCs/>
          <w:sz w:val="24"/>
          <w:szCs w:val="24"/>
        </w:rPr>
        <w:t>Kenya’s Vision 2030</w:t>
      </w:r>
      <w:r w:rsidRPr="001070D1">
        <w:rPr>
          <w:rFonts w:ascii="Times New Roman" w:eastAsia="Times New Roman" w:hAnsi="Times New Roman" w:cs="Times New Roman"/>
          <w:sz w:val="24"/>
          <w:szCs w:val="24"/>
        </w:rPr>
        <w:t xml:space="preserve">, the </w:t>
      </w:r>
      <w:r w:rsidRPr="001070D1">
        <w:rPr>
          <w:rFonts w:ascii="Times New Roman" w:eastAsia="Times New Roman" w:hAnsi="Times New Roman" w:cs="Times New Roman"/>
          <w:b/>
          <w:bCs/>
          <w:sz w:val="24"/>
          <w:szCs w:val="24"/>
        </w:rPr>
        <w:t>Universal Health Policy (2020–2030)</w:t>
      </w:r>
      <w:r w:rsidRPr="001070D1">
        <w:rPr>
          <w:rFonts w:ascii="Times New Roman" w:eastAsia="Times New Roman" w:hAnsi="Times New Roman" w:cs="Times New Roman"/>
          <w:sz w:val="24"/>
          <w:szCs w:val="24"/>
        </w:rPr>
        <w:t xml:space="preserve">, and the </w:t>
      </w:r>
      <w:r w:rsidRPr="001070D1">
        <w:rPr>
          <w:rFonts w:ascii="Times New Roman" w:eastAsia="Times New Roman" w:hAnsi="Times New Roman" w:cs="Times New Roman"/>
          <w:b/>
          <w:bCs/>
          <w:sz w:val="24"/>
          <w:szCs w:val="24"/>
        </w:rPr>
        <w:t>Digital Health and Innovation Strategy</w:t>
      </w:r>
      <w:r w:rsidRPr="001070D1">
        <w:rPr>
          <w:rFonts w:ascii="Times New Roman" w:eastAsia="Times New Roman" w:hAnsi="Times New Roman" w:cs="Times New Roman"/>
          <w:sz w:val="24"/>
          <w:szCs w:val="24"/>
        </w:rPr>
        <w:t xml:space="preserve">, aligning institutional transformation with national and regional priorities under the </w:t>
      </w:r>
      <w:r w:rsidRPr="001070D1">
        <w:rPr>
          <w:rFonts w:ascii="Times New Roman" w:eastAsia="Times New Roman" w:hAnsi="Times New Roman" w:cs="Times New Roman"/>
          <w:b/>
          <w:bCs/>
          <w:sz w:val="24"/>
          <w:szCs w:val="24"/>
        </w:rPr>
        <w:t>2030 Agenda for Sustainable Development</w:t>
      </w:r>
      <w:r w:rsidRPr="001070D1">
        <w:rPr>
          <w:rFonts w:ascii="Times New Roman" w:eastAsia="Times New Roman" w:hAnsi="Times New Roman" w:cs="Times New Roman"/>
          <w:sz w:val="24"/>
          <w:szCs w:val="24"/>
        </w:rPr>
        <w:t>.</w:t>
      </w:r>
    </w:p>
    <w:p w:rsidR="001070D1" w:rsidRPr="001070D1" w:rsidRDefault="001070D1" w:rsidP="001070D1">
      <w:pPr>
        <w:spacing w:after="0" w:line="240" w:lineRule="auto"/>
        <w:rPr>
          <w:rFonts w:ascii="Times New Roman" w:eastAsia="Times New Roman" w:hAnsi="Times New Roman" w:cs="Times New Roman"/>
          <w:sz w:val="24"/>
          <w:szCs w:val="24"/>
        </w:rPr>
      </w:pPr>
    </w:p>
    <w:p w:rsidR="00521C92" w:rsidRDefault="00521C92" w:rsidP="00521C92"/>
    <w:p w:rsidR="00521C92" w:rsidRDefault="00521C92" w:rsidP="00521C92">
      <w:pPr>
        <w:pStyle w:val="Heading2"/>
      </w:pPr>
      <w:r>
        <w:rPr>
          <w:rStyle w:val="Strong"/>
          <w:b/>
          <w:bCs w:val="0"/>
        </w:rPr>
        <w:t>Module 2: Project Strategy (Impact Statement and Theory of Change)</w:t>
      </w:r>
    </w:p>
    <w:p w:rsidR="00521C92" w:rsidRDefault="00521C92" w:rsidP="00521C92">
      <w:pPr>
        <w:pStyle w:val="Heading3"/>
      </w:pPr>
      <w:r>
        <w:rPr>
          <w:rStyle w:val="Strong"/>
          <w:b/>
          <w:bCs w:val="0"/>
        </w:rPr>
        <w:t>Impact Statement (The Dream)</w:t>
      </w:r>
    </w:p>
    <w:p w:rsidR="00521C92" w:rsidRDefault="00521C92" w:rsidP="00521C92">
      <w:pPr>
        <w:pStyle w:val="NormalWeb"/>
      </w:pPr>
      <w:r>
        <w:t>A resilient and inclusive data science ecosystem for biomedical research, conservation, and disease surveillance in Kenya that transforms complex data into actionable knowledge for improved public health, environmental sustainability, and social equity — ensuring that no one is left behind in the digital transformation of research and policy.</w:t>
      </w:r>
    </w:p>
    <w:p w:rsidR="00521C92" w:rsidRDefault="00521C92" w:rsidP="00521C92">
      <w:pPr>
        <w:pStyle w:val="NormalWeb"/>
      </w:pPr>
      <w:r>
        <w:t xml:space="preserve">This vision contributes directly to </w:t>
      </w:r>
      <w:r>
        <w:rPr>
          <w:rStyle w:val="Strong"/>
          <w:rFonts w:eastAsiaTheme="majorEastAsia"/>
        </w:rPr>
        <w:t>SDG 3 (Good Health and Well-being)</w:t>
      </w:r>
      <w:r>
        <w:t xml:space="preserve"> and </w:t>
      </w:r>
      <w:r>
        <w:rPr>
          <w:rStyle w:val="Strong"/>
          <w:rFonts w:eastAsiaTheme="majorEastAsia"/>
        </w:rPr>
        <w:t>SDG 9 (Industry, Innovation and Infrastructure)</w:t>
      </w:r>
      <w:r>
        <w:t xml:space="preserve">, and secondarily to </w:t>
      </w:r>
      <w:r>
        <w:rPr>
          <w:rStyle w:val="Strong"/>
          <w:rFonts w:eastAsiaTheme="majorEastAsia"/>
        </w:rPr>
        <w:t>SDG 13 (Climate Action)</w:t>
      </w:r>
      <w:r>
        <w:t xml:space="preserve"> and </w:t>
      </w:r>
      <w:r>
        <w:rPr>
          <w:rStyle w:val="Strong"/>
          <w:rFonts w:eastAsiaTheme="majorEastAsia"/>
        </w:rPr>
        <w:t>SDG 17 (Partnerships for the Goals)</w:t>
      </w:r>
      <w:r>
        <w:t>.</w:t>
      </w:r>
      <w:r>
        <w:br/>
        <w:t>It envisions that, within 15 years, Kenya and the East African region will possess locally led, gender-inclusive, and environmentally responsible data science institutions that underpin evidence-based policy and innovation.</w:t>
      </w:r>
    </w:p>
    <w:p w:rsidR="00521C92" w:rsidRDefault="00521C92" w:rsidP="00521C92">
      <w:r>
        <w:pict>
          <v:rect id="_x0000_i1025" style="width:0;height:1.5pt" o:hralign="center" o:hrstd="t" o:hr="t" fillcolor="#a0a0a0" stroked="f"/>
        </w:pict>
      </w:r>
    </w:p>
    <w:p w:rsidR="00521C92" w:rsidRDefault="00521C92" w:rsidP="00521C92">
      <w:pPr>
        <w:pStyle w:val="Heading3"/>
      </w:pPr>
      <w:r>
        <w:rPr>
          <w:rStyle w:val="Strong"/>
          <w:b/>
          <w:bCs w:val="0"/>
        </w:rPr>
        <w:t xml:space="preserve">Step </w:t>
      </w:r>
      <w:proofErr w:type="gramStart"/>
      <w:r>
        <w:rPr>
          <w:rStyle w:val="Strong"/>
          <w:b/>
          <w:bCs w:val="0"/>
        </w:rPr>
        <w:t>1</w:t>
      </w:r>
      <w:proofErr w:type="gramEnd"/>
      <w:r>
        <w:rPr>
          <w:rStyle w:val="Strong"/>
          <w:b/>
          <w:bCs w:val="0"/>
        </w:rPr>
        <w:t xml:space="preserve"> – Identify Areas of Change (Why?)</w:t>
      </w:r>
    </w:p>
    <w:p w:rsidR="00521C92" w:rsidRDefault="00521C92" w:rsidP="00521C92">
      <w:pPr>
        <w:pStyle w:val="NormalWeb"/>
      </w:pPr>
      <w:r>
        <w:t>To achieve this long-term dream, transformation must occur in three interconnected domains:</w:t>
      </w:r>
    </w:p>
    <w:p w:rsidR="00521C92" w:rsidRDefault="00521C92" w:rsidP="00521C92">
      <w:pPr>
        <w:pStyle w:val="NormalWeb"/>
        <w:numPr>
          <w:ilvl w:val="0"/>
          <w:numId w:val="10"/>
        </w:numPr>
      </w:pPr>
      <w:r>
        <w:rPr>
          <w:rStyle w:val="Strong"/>
          <w:rFonts w:eastAsiaTheme="majorEastAsia"/>
        </w:rPr>
        <w:t>Knowledge and Human Capital</w:t>
      </w:r>
      <w:proofErr w:type="gramStart"/>
      <w:r>
        <w:rPr>
          <w:rStyle w:val="Strong"/>
          <w:rFonts w:eastAsiaTheme="majorEastAsia"/>
        </w:rPr>
        <w:t>:</w:t>
      </w:r>
      <w:proofErr w:type="gramEnd"/>
      <w:r>
        <w:br/>
        <w:t>Scientists, data analysts, and ICT officers require enhanced capacities in biostatistics, bioinformatics, and AI analytics to extract meaningful insights from biomedical and environmental data.</w:t>
      </w:r>
    </w:p>
    <w:p w:rsidR="00521C92" w:rsidRDefault="00521C92" w:rsidP="00521C92">
      <w:pPr>
        <w:pStyle w:val="NormalWeb"/>
        <w:numPr>
          <w:ilvl w:val="0"/>
          <w:numId w:val="10"/>
        </w:numPr>
      </w:pPr>
      <w:r>
        <w:rPr>
          <w:rStyle w:val="Strong"/>
          <w:rFonts w:eastAsiaTheme="majorEastAsia"/>
        </w:rPr>
        <w:t>Institutional Systems and Governance</w:t>
      </w:r>
      <w:proofErr w:type="gramStart"/>
      <w:r>
        <w:rPr>
          <w:rStyle w:val="Strong"/>
          <w:rFonts w:eastAsiaTheme="majorEastAsia"/>
        </w:rPr>
        <w:t>:</w:t>
      </w:r>
      <w:proofErr w:type="gramEnd"/>
      <w:r>
        <w:br/>
        <w:t>KIPRE and partner institutions need digital infrastructure and data governance frameworks that ensure secure, interoperable, and FAIR-compliant data management.</w:t>
      </w:r>
    </w:p>
    <w:p w:rsidR="00521C92" w:rsidRDefault="00521C92" w:rsidP="00521C92">
      <w:pPr>
        <w:pStyle w:val="NormalWeb"/>
        <w:numPr>
          <w:ilvl w:val="0"/>
          <w:numId w:val="10"/>
        </w:numPr>
      </w:pPr>
      <w:r>
        <w:rPr>
          <w:rStyle w:val="Strong"/>
          <w:rFonts w:eastAsiaTheme="majorEastAsia"/>
        </w:rPr>
        <w:t>Societal and Policy Engagement</w:t>
      </w:r>
      <w:proofErr w:type="gramStart"/>
      <w:r>
        <w:rPr>
          <w:rStyle w:val="Strong"/>
          <w:rFonts w:eastAsiaTheme="majorEastAsia"/>
        </w:rPr>
        <w:t>:</w:t>
      </w:r>
      <w:proofErr w:type="gramEnd"/>
      <w:r>
        <w:br/>
        <w:t>Research outputs must be systematically translated into evidence that informs national and regional health and environmental policies, thereby bridging the gap between science and practice.</w:t>
      </w:r>
    </w:p>
    <w:p w:rsidR="00521C92" w:rsidRDefault="00521C92" w:rsidP="00521C92">
      <w:pPr>
        <w:pStyle w:val="NormalWeb"/>
      </w:pPr>
      <w:r>
        <w:t xml:space="preserve">These change areas respond to Kenya’s </w:t>
      </w:r>
      <w:r>
        <w:rPr>
          <w:rStyle w:val="Strong"/>
          <w:rFonts w:eastAsiaTheme="majorEastAsia"/>
        </w:rPr>
        <w:t>Digital Health and Innovation Strategy</w:t>
      </w:r>
      <w:r>
        <w:t xml:space="preserve"> and </w:t>
      </w:r>
      <w:r>
        <w:rPr>
          <w:rStyle w:val="Strong"/>
          <w:rFonts w:eastAsiaTheme="majorEastAsia"/>
        </w:rPr>
        <w:t>Vision 2030</w:t>
      </w:r>
      <w:r>
        <w:t>, addressing structural gaps in research translation, equitable data access, and environmental resilience.</w:t>
      </w:r>
    </w:p>
    <w:p w:rsidR="00521C92" w:rsidRDefault="00521C92" w:rsidP="00521C92">
      <w:r>
        <w:pict>
          <v:rect id="_x0000_i1026" style="width:0;height:1.5pt" o:hralign="center" o:hrstd="t" o:hr="t" fillcolor="#a0a0a0" stroked="f"/>
        </w:pict>
      </w:r>
    </w:p>
    <w:p w:rsidR="00521C92" w:rsidRDefault="00521C92" w:rsidP="00521C92">
      <w:pPr>
        <w:pStyle w:val="Heading3"/>
      </w:pPr>
      <w:r>
        <w:rPr>
          <w:rStyle w:val="Strong"/>
          <w:b/>
          <w:bCs w:val="0"/>
        </w:rPr>
        <w:t xml:space="preserve">Step </w:t>
      </w:r>
      <w:proofErr w:type="gramStart"/>
      <w:r>
        <w:rPr>
          <w:rStyle w:val="Strong"/>
          <w:b/>
          <w:bCs w:val="0"/>
        </w:rPr>
        <w:t>2</w:t>
      </w:r>
      <w:proofErr w:type="gramEnd"/>
      <w:r>
        <w:rPr>
          <w:rStyle w:val="Strong"/>
          <w:b/>
          <w:bCs w:val="0"/>
        </w:rPr>
        <w:t xml:space="preserve"> – </w:t>
      </w:r>
      <w:proofErr w:type="spellStart"/>
      <w:r>
        <w:rPr>
          <w:rStyle w:val="Strong"/>
          <w:b/>
          <w:bCs w:val="0"/>
        </w:rPr>
        <w:t>Prioritise</w:t>
      </w:r>
      <w:proofErr w:type="spellEnd"/>
      <w:r>
        <w:rPr>
          <w:rStyle w:val="Strong"/>
          <w:b/>
          <w:bCs w:val="0"/>
        </w:rPr>
        <w:t xml:space="preserve"> Areas of Change (What?)</w:t>
      </w:r>
    </w:p>
    <w:p w:rsidR="00521C92" w:rsidRDefault="00521C92" w:rsidP="00521C92">
      <w:pPr>
        <w:pStyle w:val="Heading4"/>
      </w:pPr>
      <w:r>
        <w:rPr>
          <w:rStyle w:val="Strong"/>
          <w:rFonts w:eastAsiaTheme="majorEastAsia"/>
          <w:b/>
          <w:bCs/>
        </w:rPr>
        <w:t xml:space="preserve">Key Outcomes to be </w:t>
      </w:r>
      <w:proofErr w:type="gramStart"/>
      <w:r>
        <w:rPr>
          <w:rStyle w:val="Strong"/>
          <w:rFonts w:eastAsiaTheme="majorEastAsia"/>
          <w:b/>
          <w:bCs/>
        </w:rPr>
        <w:t>Achieved</w:t>
      </w:r>
      <w:proofErr w:type="gramEnd"/>
      <w:r>
        <w:rPr>
          <w:rStyle w:val="Strong"/>
          <w:rFonts w:eastAsiaTheme="majorEastAsia"/>
          <w:b/>
          <w:bCs/>
        </w:rPr>
        <w:t xml:space="preserve"> by the Project</w:t>
      </w:r>
    </w:p>
    <w:p w:rsidR="00521C92" w:rsidRDefault="00521C92" w:rsidP="00521C92">
      <w:pPr>
        <w:pStyle w:val="NormalWeb"/>
      </w:pPr>
      <w:r>
        <w:t xml:space="preserve">The project will focus on three realistic outcome areas aligned with </w:t>
      </w:r>
      <w:r>
        <w:rPr>
          <w:rStyle w:val="Strong"/>
          <w:rFonts w:eastAsiaTheme="majorEastAsia"/>
        </w:rPr>
        <w:t>VLIR-UOS standard outcomes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5964"/>
        <w:gridCol w:w="1223"/>
      </w:tblGrid>
      <w:tr w:rsidR="00521C92" w:rsidTr="00521C92">
        <w:trPr>
          <w:tblHeader/>
          <w:tblCellSpacing w:w="15" w:type="dxa"/>
        </w:trPr>
        <w:tc>
          <w:tcPr>
            <w:tcW w:w="0" w:type="auto"/>
            <w:vAlign w:val="center"/>
            <w:hideMark/>
          </w:tcPr>
          <w:p w:rsidR="00521C92" w:rsidRDefault="00521C92">
            <w:pPr>
              <w:jc w:val="center"/>
              <w:rPr>
                <w:b/>
                <w:bCs/>
              </w:rPr>
            </w:pPr>
            <w:r>
              <w:rPr>
                <w:rStyle w:val="Strong"/>
              </w:rPr>
              <w:t>VLIR-UOS Outcome Area</w:t>
            </w:r>
          </w:p>
        </w:tc>
        <w:tc>
          <w:tcPr>
            <w:tcW w:w="0" w:type="auto"/>
            <w:vAlign w:val="center"/>
            <w:hideMark/>
          </w:tcPr>
          <w:p w:rsidR="00521C92" w:rsidRDefault="00521C92">
            <w:pPr>
              <w:jc w:val="center"/>
              <w:rPr>
                <w:b/>
                <w:bCs/>
              </w:rPr>
            </w:pPr>
            <w:r>
              <w:rPr>
                <w:rStyle w:val="Strong"/>
              </w:rPr>
              <w:t>Expected Change by End of Project</w:t>
            </w:r>
          </w:p>
        </w:tc>
        <w:tc>
          <w:tcPr>
            <w:tcW w:w="0" w:type="auto"/>
            <w:vAlign w:val="center"/>
            <w:hideMark/>
          </w:tcPr>
          <w:p w:rsidR="00521C92" w:rsidRDefault="00521C92">
            <w:pPr>
              <w:jc w:val="center"/>
              <w:rPr>
                <w:b/>
                <w:bCs/>
              </w:rPr>
            </w:pPr>
            <w:r>
              <w:rPr>
                <w:rStyle w:val="Strong"/>
              </w:rPr>
              <w:t>SDG Alignment</w:t>
            </w:r>
          </w:p>
        </w:tc>
      </w:tr>
      <w:tr w:rsidR="00521C92" w:rsidTr="00521C92">
        <w:trPr>
          <w:tblCellSpacing w:w="15" w:type="dxa"/>
        </w:trPr>
        <w:tc>
          <w:tcPr>
            <w:tcW w:w="0" w:type="auto"/>
            <w:vAlign w:val="center"/>
            <w:hideMark/>
          </w:tcPr>
          <w:p w:rsidR="00521C92" w:rsidRDefault="00521C92">
            <w:r>
              <w:rPr>
                <w:rStyle w:val="Strong"/>
              </w:rPr>
              <w:t>People</w:t>
            </w:r>
          </w:p>
        </w:tc>
        <w:tc>
          <w:tcPr>
            <w:tcW w:w="0" w:type="auto"/>
            <w:vAlign w:val="center"/>
            <w:hideMark/>
          </w:tcPr>
          <w:p w:rsidR="00521C92" w:rsidRDefault="00521C92">
            <w:r>
              <w:t>30+ researchers and ICT staff trained in advanced data analytics, gender-sensitive research, and ethical AI practices</w:t>
            </w:r>
          </w:p>
        </w:tc>
        <w:tc>
          <w:tcPr>
            <w:tcW w:w="0" w:type="auto"/>
            <w:vAlign w:val="center"/>
            <w:hideMark/>
          </w:tcPr>
          <w:p w:rsidR="00521C92" w:rsidRDefault="00521C92">
            <w:r>
              <w:t>SDG 4, SDG 5</w:t>
            </w:r>
          </w:p>
        </w:tc>
      </w:tr>
      <w:tr w:rsidR="00521C92" w:rsidTr="00521C92">
        <w:trPr>
          <w:tblCellSpacing w:w="15" w:type="dxa"/>
        </w:trPr>
        <w:tc>
          <w:tcPr>
            <w:tcW w:w="0" w:type="auto"/>
            <w:vAlign w:val="center"/>
            <w:hideMark/>
          </w:tcPr>
          <w:p w:rsidR="00521C92" w:rsidRDefault="00521C92">
            <w:r>
              <w:rPr>
                <w:rStyle w:val="Strong"/>
              </w:rPr>
              <w:t>Systems, Policies &amp; Infrastructure</w:t>
            </w:r>
          </w:p>
        </w:tc>
        <w:tc>
          <w:tcPr>
            <w:tcW w:w="0" w:type="auto"/>
            <w:vAlign w:val="center"/>
            <w:hideMark/>
          </w:tcPr>
          <w:p w:rsidR="00521C92" w:rsidRDefault="00521C92">
            <w:r>
              <w:t>Functional Data Science and Analytics Centre (DSAC) established with interoperable databases and FAIR-compliant policies</w:t>
            </w:r>
          </w:p>
        </w:tc>
        <w:tc>
          <w:tcPr>
            <w:tcW w:w="0" w:type="auto"/>
            <w:vAlign w:val="center"/>
            <w:hideMark/>
          </w:tcPr>
          <w:p w:rsidR="00521C92" w:rsidRDefault="00521C92">
            <w:r>
              <w:t>SDG 9, SDG 16</w:t>
            </w:r>
          </w:p>
        </w:tc>
      </w:tr>
      <w:tr w:rsidR="00521C92" w:rsidTr="00521C92">
        <w:trPr>
          <w:tblCellSpacing w:w="15" w:type="dxa"/>
        </w:trPr>
        <w:tc>
          <w:tcPr>
            <w:tcW w:w="0" w:type="auto"/>
            <w:vAlign w:val="center"/>
            <w:hideMark/>
          </w:tcPr>
          <w:p w:rsidR="00521C92" w:rsidRDefault="00521C92">
            <w:r>
              <w:rPr>
                <w:rStyle w:val="Strong"/>
              </w:rPr>
              <w:t>Outreach &amp; Policy Support</w:t>
            </w:r>
          </w:p>
        </w:tc>
        <w:tc>
          <w:tcPr>
            <w:tcW w:w="0" w:type="auto"/>
            <w:vAlign w:val="center"/>
            <w:hideMark/>
          </w:tcPr>
          <w:p w:rsidR="00521C92" w:rsidRDefault="00521C92">
            <w:r>
              <w:t>Evidence from DSAC integrated into public health, conservation, and climate policies through data dashboards and policy briefs</w:t>
            </w:r>
          </w:p>
        </w:tc>
        <w:tc>
          <w:tcPr>
            <w:tcW w:w="0" w:type="auto"/>
            <w:vAlign w:val="center"/>
            <w:hideMark/>
          </w:tcPr>
          <w:p w:rsidR="00521C92" w:rsidRDefault="00521C92">
            <w:r>
              <w:t>SDG 3, SDG 13</w:t>
            </w:r>
          </w:p>
        </w:tc>
      </w:tr>
    </w:tbl>
    <w:p w:rsidR="00521C92" w:rsidRDefault="00521C92" w:rsidP="00521C92">
      <w:pPr>
        <w:pStyle w:val="Heading4"/>
      </w:pPr>
      <w:r>
        <w:rPr>
          <w:rStyle w:val="Strong"/>
          <w:rFonts w:eastAsiaTheme="majorEastAsia"/>
          <w:b/>
          <w:bCs/>
        </w:rPr>
        <w:t>Alignment with VLIR-UOS Theory of Change</w:t>
      </w:r>
    </w:p>
    <w:p w:rsidR="00521C92" w:rsidRDefault="00521C92" w:rsidP="00521C92">
      <w:pPr>
        <w:pStyle w:val="NormalWeb"/>
        <w:numPr>
          <w:ilvl w:val="0"/>
          <w:numId w:val="11"/>
        </w:numPr>
      </w:pPr>
      <w:r>
        <w:rPr>
          <w:rStyle w:val="Strong"/>
          <w:rFonts w:eastAsiaTheme="majorEastAsia"/>
        </w:rPr>
        <w:t>Individual level:</w:t>
      </w:r>
      <w:r>
        <w:t xml:space="preserve"> Enhanced competences in data science, biostatistics, and digital ethics.</w:t>
      </w:r>
    </w:p>
    <w:p w:rsidR="00521C92" w:rsidRDefault="00521C92" w:rsidP="00521C92">
      <w:pPr>
        <w:pStyle w:val="NormalWeb"/>
        <w:numPr>
          <w:ilvl w:val="0"/>
          <w:numId w:val="11"/>
        </w:numPr>
      </w:pPr>
      <w:r>
        <w:rPr>
          <w:rStyle w:val="Strong"/>
          <w:rFonts w:eastAsiaTheme="majorEastAsia"/>
        </w:rPr>
        <w:t>Institutional level:</w:t>
      </w:r>
      <w:r>
        <w:t xml:space="preserve"> Strengthened </w:t>
      </w:r>
      <w:proofErr w:type="spellStart"/>
      <w:r>
        <w:t>organisational</w:t>
      </w:r>
      <w:proofErr w:type="spellEnd"/>
      <w:r>
        <w:t xml:space="preserve"> systems, leadership, and research infrastructure for sustainable knowledge management.</w:t>
      </w:r>
    </w:p>
    <w:p w:rsidR="00521C92" w:rsidRDefault="00521C92" w:rsidP="00521C92">
      <w:pPr>
        <w:pStyle w:val="NormalWeb"/>
        <w:numPr>
          <w:ilvl w:val="0"/>
          <w:numId w:val="11"/>
        </w:numPr>
      </w:pPr>
      <w:r>
        <w:rPr>
          <w:rStyle w:val="Strong"/>
          <w:rFonts w:eastAsiaTheme="majorEastAsia"/>
        </w:rPr>
        <w:t>Societal level:</w:t>
      </w:r>
      <w:r>
        <w:t xml:space="preserve"> Improved uptake of scientific evidence for public health and conservation decision-making through active partnerships.</w:t>
      </w:r>
    </w:p>
    <w:p w:rsidR="00521C92" w:rsidRDefault="00521C92" w:rsidP="00521C92">
      <w:pPr>
        <w:pStyle w:val="NormalWeb"/>
      </w:pPr>
      <w:r>
        <w:t xml:space="preserve">These outcomes collectively reinforce the VLIR-UOS vision of </w:t>
      </w:r>
      <w:r>
        <w:rPr>
          <w:rStyle w:val="Strong"/>
          <w:rFonts w:eastAsiaTheme="majorEastAsia"/>
        </w:rPr>
        <w:t>“Sharing Minds, Changing Lives”</w:t>
      </w:r>
      <w:r>
        <w:t xml:space="preserve"> by transforming knowledge into practice through equitable and sustainable partnerships.</w:t>
      </w:r>
    </w:p>
    <w:p w:rsidR="00521C92" w:rsidRDefault="00521C92" w:rsidP="00521C92">
      <w:r>
        <w:pict>
          <v:rect id="_x0000_i1027" style="width:0;height:1.5pt" o:hralign="center" o:hrstd="t" o:hr="t" fillcolor="#a0a0a0" stroked="f"/>
        </w:pict>
      </w:r>
    </w:p>
    <w:p w:rsidR="00521C92" w:rsidRDefault="00521C92" w:rsidP="00521C92">
      <w:pPr>
        <w:pStyle w:val="Heading3"/>
      </w:pPr>
      <w:r>
        <w:rPr>
          <w:rStyle w:val="Strong"/>
          <w:b/>
          <w:bCs w:val="0"/>
        </w:rPr>
        <w:t>Step 3 – Operational and Methodological Approaches (How?)</w:t>
      </w:r>
    </w:p>
    <w:p w:rsidR="00521C92" w:rsidRDefault="00521C92" w:rsidP="00521C92">
      <w:pPr>
        <w:pStyle w:val="Heading4"/>
      </w:pPr>
      <w:r>
        <w:rPr>
          <w:rStyle w:val="Strong"/>
          <w:rFonts w:eastAsiaTheme="majorEastAsia"/>
          <w:b/>
          <w:bCs/>
        </w:rPr>
        <w:t>Strategic Approach</w:t>
      </w:r>
    </w:p>
    <w:p w:rsidR="00521C92" w:rsidRDefault="00521C92" w:rsidP="00521C92">
      <w:pPr>
        <w:pStyle w:val="NormalWeb"/>
      </w:pPr>
      <w:r>
        <w:t xml:space="preserve">The project applies a </w:t>
      </w:r>
      <w:r>
        <w:rPr>
          <w:rStyle w:val="Strong"/>
          <w:rFonts w:eastAsiaTheme="majorEastAsia"/>
        </w:rPr>
        <w:t>participatory, systems-based, and gender-responsive approach</w:t>
      </w:r>
      <w:r>
        <w:t xml:space="preserve"> to enable transformation across the research ecosystem.</w:t>
      </w:r>
      <w:r>
        <w:br/>
        <w:t>By working backwards from the desired impact, the strategy connects capacity development, institutional strengthening, and policy engagement through the following pathways:</w:t>
      </w:r>
    </w:p>
    <w:p w:rsidR="00521C92" w:rsidRDefault="00521C92" w:rsidP="00521C92">
      <w:pPr>
        <w:pStyle w:val="NormalWeb"/>
        <w:numPr>
          <w:ilvl w:val="0"/>
          <w:numId w:val="12"/>
        </w:numPr>
      </w:pPr>
      <w:proofErr w:type="spellStart"/>
      <w:r>
        <w:rPr>
          <w:rStyle w:val="Strong"/>
          <w:rFonts w:eastAsiaTheme="majorEastAsia"/>
        </w:rPr>
        <w:t>Operationalisation</w:t>
      </w:r>
      <w:proofErr w:type="spellEnd"/>
      <w:r>
        <w:rPr>
          <w:rStyle w:val="Strong"/>
          <w:rFonts w:eastAsiaTheme="majorEastAsia"/>
        </w:rPr>
        <w:t xml:space="preserve"> of the Data Science and Analytics Centre (DSAC):</w:t>
      </w:r>
    </w:p>
    <w:p w:rsidR="00521C92" w:rsidRDefault="00521C92" w:rsidP="00521C92">
      <w:pPr>
        <w:pStyle w:val="NormalWeb"/>
        <w:numPr>
          <w:ilvl w:val="1"/>
          <w:numId w:val="12"/>
        </w:numPr>
      </w:pPr>
      <w:r>
        <w:t xml:space="preserve">Equip and </w:t>
      </w:r>
      <w:proofErr w:type="spellStart"/>
      <w:r>
        <w:t>operationalise</w:t>
      </w:r>
      <w:proofErr w:type="spellEnd"/>
      <w:r>
        <w:t xml:space="preserve"> a dedicated data science hub at KIPRE.</w:t>
      </w:r>
    </w:p>
    <w:p w:rsidR="00521C92" w:rsidRDefault="00521C92" w:rsidP="00521C92">
      <w:pPr>
        <w:pStyle w:val="NormalWeb"/>
        <w:numPr>
          <w:ilvl w:val="1"/>
          <w:numId w:val="12"/>
        </w:numPr>
      </w:pPr>
      <w:r>
        <w:t>Integrate FAIR data principles and secure, ethical data workflows.</w:t>
      </w:r>
    </w:p>
    <w:p w:rsidR="00521C92" w:rsidRDefault="00521C92" w:rsidP="00521C92">
      <w:pPr>
        <w:pStyle w:val="NormalWeb"/>
        <w:numPr>
          <w:ilvl w:val="0"/>
          <w:numId w:val="12"/>
        </w:numPr>
      </w:pPr>
      <w:r>
        <w:rPr>
          <w:rStyle w:val="Strong"/>
          <w:rFonts w:eastAsiaTheme="majorEastAsia"/>
        </w:rPr>
        <w:t>Targeted Training and Mentorship:</w:t>
      </w:r>
    </w:p>
    <w:p w:rsidR="00521C92" w:rsidRDefault="00521C92" w:rsidP="00521C92">
      <w:pPr>
        <w:pStyle w:val="NormalWeb"/>
        <w:numPr>
          <w:ilvl w:val="1"/>
          <w:numId w:val="12"/>
        </w:numPr>
      </w:pPr>
      <w:r>
        <w:t>Develop joint training curricula with UHasselt in biostatistics, R programming, AI, and data governance.</w:t>
      </w:r>
    </w:p>
    <w:p w:rsidR="00521C92" w:rsidRDefault="00521C92" w:rsidP="00521C92">
      <w:pPr>
        <w:pStyle w:val="NormalWeb"/>
        <w:numPr>
          <w:ilvl w:val="1"/>
          <w:numId w:val="12"/>
        </w:numPr>
      </w:pPr>
      <w:r>
        <w:t xml:space="preserve">Implement gender-balanced mentorship </w:t>
      </w:r>
      <w:proofErr w:type="spellStart"/>
      <w:r>
        <w:t>programmes</w:t>
      </w:r>
      <w:proofErr w:type="spellEnd"/>
      <w:r>
        <w:t xml:space="preserve"> and short courses.</w:t>
      </w:r>
    </w:p>
    <w:p w:rsidR="00521C92" w:rsidRDefault="00521C92" w:rsidP="00521C92">
      <w:pPr>
        <w:pStyle w:val="NormalWeb"/>
        <w:numPr>
          <w:ilvl w:val="0"/>
          <w:numId w:val="12"/>
        </w:numPr>
      </w:pPr>
      <w:r>
        <w:rPr>
          <w:rStyle w:val="Strong"/>
          <w:rFonts w:eastAsiaTheme="majorEastAsia"/>
        </w:rPr>
        <w:t>Research and Innovation for One Health:</w:t>
      </w:r>
    </w:p>
    <w:p w:rsidR="00521C92" w:rsidRDefault="00521C92" w:rsidP="00521C92">
      <w:pPr>
        <w:pStyle w:val="NormalWeb"/>
        <w:numPr>
          <w:ilvl w:val="1"/>
          <w:numId w:val="12"/>
        </w:numPr>
      </w:pPr>
      <w:r>
        <w:t>Co-design interdisciplinary projects linking biomedical, ecological, and climate data under the One Health framework.</w:t>
      </w:r>
    </w:p>
    <w:p w:rsidR="00521C92" w:rsidRDefault="00521C92" w:rsidP="00521C92">
      <w:pPr>
        <w:pStyle w:val="NormalWeb"/>
        <w:numPr>
          <w:ilvl w:val="0"/>
          <w:numId w:val="12"/>
        </w:numPr>
      </w:pPr>
      <w:r>
        <w:rPr>
          <w:rStyle w:val="Strong"/>
          <w:rFonts w:eastAsiaTheme="majorEastAsia"/>
        </w:rPr>
        <w:t>Evidence Translation and Policy Uptake:</w:t>
      </w:r>
    </w:p>
    <w:p w:rsidR="00521C92" w:rsidRDefault="00521C92" w:rsidP="00521C92">
      <w:pPr>
        <w:pStyle w:val="NormalWeb"/>
        <w:numPr>
          <w:ilvl w:val="1"/>
          <w:numId w:val="12"/>
        </w:numPr>
      </w:pPr>
      <w:r>
        <w:t>Produce policy briefs, dashboards, and communication materials for the Ministry of Health and environmental agencies.</w:t>
      </w:r>
    </w:p>
    <w:p w:rsidR="00521C92" w:rsidRDefault="00521C92" w:rsidP="00521C92">
      <w:pPr>
        <w:pStyle w:val="NormalWeb"/>
        <w:numPr>
          <w:ilvl w:val="1"/>
          <w:numId w:val="12"/>
        </w:numPr>
      </w:pPr>
      <w:proofErr w:type="spellStart"/>
      <w:r>
        <w:t>Organise</w:t>
      </w:r>
      <w:proofErr w:type="spellEnd"/>
      <w:r>
        <w:t xml:space="preserve"> multi-stakeholder dialogues to align research findings with local policy needs.</w:t>
      </w:r>
    </w:p>
    <w:p w:rsidR="00521C92" w:rsidRDefault="00521C92" w:rsidP="00521C92">
      <w:pPr>
        <w:pStyle w:val="NormalWeb"/>
        <w:numPr>
          <w:ilvl w:val="0"/>
          <w:numId w:val="12"/>
        </w:numPr>
      </w:pPr>
      <w:r>
        <w:rPr>
          <w:rStyle w:val="Strong"/>
          <w:rFonts w:eastAsiaTheme="majorEastAsia"/>
        </w:rPr>
        <w:t>Sustainability and Networking:</w:t>
      </w:r>
    </w:p>
    <w:p w:rsidR="00521C92" w:rsidRDefault="00521C92" w:rsidP="00521C92">
      <w:pPr>
        <w:pStyle w:val="NormalWeb"/>
        <w:numPr>
          <w:ilvl w:val="1"/>
          <w:numId w:val="12"/>
        </w:numPr>
      </w:pPr>
      <w:proofErr w:type="spellStart"/>
      <w:r>
        <w:t>Institutionalise</w:t>
      </w:r>
      <w:proofErr w:type="spellEnd"/>
      <w:r>
        <w:t xml:space="preserve"> the DSAC within KIPRE’s strategic plan.</w:t>
      </w:r>
    </w:p>
    <w:p w:rsidR="00521C92" w:rsidRDefault="00521C92" w:rsidP="00521C92">
      <w:pPr>
        <w:pStyle w:val="NormalWeb"/>
        <w:numPr>
          <w:ilvl w:val="1"/>
          <w:numId w:val="12"/>
        </w:numPr>
      </w:pPr>
      <w:r>
        <w:t>Build regional and global collaborations for continued funding and expertise exchange.</w:t>
      </w:r>
    </w:p>
    <w:p w:rsidR="00521C92" w:rsidRDefault="00521C92" w:rsidP="00521C92">
      <w:r>
        <w:pict>
          <v:rect id="_x0000_i1028" style="width:0;height:1.5pt" o:hralign="center" o:hrstd="t" o:hr="t" fillcolor="#a0a0a0" stroked="f"/>
        </w:pict>
      </w:r>
    </w:p>
    <w:p w:rsidR="00521C92" w:rsidRDefault="00521C92" w:rsidP="00521C92">
      <w:pPr>
        <w:pStyle w:val="Heading3"/>
      </w:pPr>
      <w:r>
        <w:rPr>
          <w:rStyle w:val="Strong"/>
          <w:b/>
          <w:bCs w:val="0"/>
        </w:rPr>
        <w:t>Key Deliverables and Activities by VLIR-UOS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134"/>
      </w:tblGrid>
      <w:tr w:rsidR="00521C92" w:rsidTr="00521C92">
        <w:trPr>
          <w:tblHeader/>
          <w:tblCellSpacing w:w="15" w:type="dxa"/>
        </w:trPr>
        <w:tc>
          <w:tcPr>
            <w:tcW w:w="0" w:type="auto"/>
            <w:vAlign w:val="center"/>
            <w:hideMark/>
          </w:tcPr>
          <w:p w:rsidR="00521C92" w:rsidRDefault="00521C92">
            <w:pPr>
              <w:jc w:val="center"/>
              <w:rPr>
                <w:b/>
                <w:bCs/>
              </w:rPr>
            </w:pPr>
            <w:r>
              <w:rPr>
                <w:rStyle w:val="Strong"/>
              </w:rPr>
              <w:t>Domain</w:t>
            </w:r>
          </w:p>
        </w:tc>
        <w:tc>
          <w:tcPr>
            <w:tcW w:w="0" w:type="auto"/>
            <w:vAlign w:val="center"/>
            <w:hideMark/>
          </w:tcPr>
          <w:p w:rsidR="00521C92" w:rsidRDefault="00521C92">
            <w:pPr>
              <w:jc w:val="center"/>
              <w:rPr>
                <w:b/>
                <w:bCs/>
              </w:rPr>
            </w:pPr>
            <w:r>
              <w:rPr>
                <w:rStyle w:val="Strong"/>
              </w:rPr>
              <w:t>Main Deliverables and Activities</w:t>
            </w:r>
          </w:p>
        </w:tc>
      </w:tr>
      <w:tr w:rsidR="00521C92" w:rsidTr="00521C92">
        <w:trPr>
          <w:tblCellSpacing w:w="15" w:type="dxa"/>
        </w:trPr>
        <w:tc>
          <w:tcPr>
            <w:tcW w:w="0" w:type="auto"/>
            <w:vAlign w:val="center"/>
            <w:hideMark/>
          </w:tcPr>
          <w:p w:rsidR="00521C92" w:rsidRDefault="00521C92">
            <w:r>
              <w:rPr>
                <w:rStyle w:val="Strong"/>
              </w:rPr>
              <w:t xml:space="preserve">Research </w:t>
            </w:r>
            <w:proofErr w:type="spellStart"/>
            <w:r>
              <w:rPr>
                <w:rStyle w:val="Strong"/>
              </w:rPr>
              <w:t>Programmes</w:t>
            </w:r>
            <w:proofErr w:type="spellEnd"/>
            <w:r>
              <w:rPr>
                <w:rStyle w:val="Strong"/>
              </w:rPr>
              <w:t xml:space="preserve"> &amp; Methods</w:t>
            </w:r>
          </w:p>
        </w:tc>
        <w:tc>
          <w:tcPr>
            <w:tcW w:w="0" w:type="auto"/>
            <w:vAlign w:val="center"/>
            <w:hideMark/>
          </w:tcPr>
          <w:p w:rsidR="00521C92" w:rsidRDefault="00521C92">
            <w:r>
              <w:t>Develop and apply interdisciplinary methodologies for biomedical and environmental data analysis; establish ethical AI and reproducibility protocols.</w:t>
            </w:r>
          </w:p>
        </w:tc>
      </w:tr>
      <w:tr w:rsidR="00521C92" w:rsidTr="00521C92">
        <w:trPr>
          <w:tblCellSpacing w:w="15" w:type="dxa"/>
        </w:trPr>
        <w:tc>
          <w:tcPr>
            <w:tcW w:w="0" w:type="auto"/>
            <w:vAlign w:val="center"/>
            <w:hideMark/>
          </w:tcPr>
          <w:p w:rsidR="00521C92" w:rsidRDefault="00521C92">
            <w:r>
              <w:rPr>
                <w:rStyle w:val="Strong"/>
              </w:rPr>
              <w:t xml:space="preserve">Education </w:t>
            </w:r>
            <w:proofErr w:type="spellStart"/>
            <w:r>
              <w:rPr>
                <w:rStyle w:val="Strong"/>
              </w:rPr>
              <w:t>Programmes</w:t>
            </w:r>
            <w:proofErr w:type="spellEnd"/>
            <w:r>
              <w:rPr>
                <w:rStyle w:val="Strong"/>
              </w:rPr>
              <w:t xml:space="preserve"> &amp; Methods</w:t>
            </w:r>
          </w:p>
        </w:tc>
        <w:tc>
          <w:tcPr>
            <w:tcW w:w="0" w:type="auto"/>
            <w:vAlign w:val="center"/>
            <w:hideMark/>
          </w:tcPr>
          <w:p w:rsidR="00521C92" w:rsidRDefault="00521C92">
            <w:r>
              <w:t>Introduce short courses and online modules in biostatistics, bioinformatics, and machine learning; promote inclusive and digital pedagogies.</w:t>
            </w:r>
          </w:p>
        </w:tc>
      </w:tr>
      <w:tr w:rsidR="00521C92" w:rsidTr="00521C92">
        <w:trPr>
          <w:tblCellSpacing w:w="15" w:type="dxa"/>
        </w:trPr>
        <w:tc>
          <w:tcPr>
            <w:tcW w:w="0" w:type="auto"/>
            <w:vAlign w:val="center"/>
            <w:hideMark/>
          </w:tcPr>
          <w:p w:rsidR="00521C92" w:rsidRDefault="00521C92">
            <w:r>
              <w:rPr>
                <w:rStyle w:val="Strong"/>
              </w:rPr>
              <w:t>Systems, Policies &amp; Infrastructure</w:t>
            </w:r>
          </w:p>
        </w:tc>
        <w:tc>
          <w:tcPr>
            <w:tcW w:w="0" w:type="auto"/>
            <w:vAlign w:val="center"/>
            <w:hideMark/>
          </w:tcPr>
          <w:p w:rsidR="00521C92" w:rsidRDefault="00521C92">
            <w:r>
              <w:t>Establish DSAC infrastructure; develop institutional data governance and FAIR policies; ensure environmentally efficient computing systems.</w:t>
            </w:r>
          </w:p>
        </w:tc>
      </w:tr>
      <w:tr w:rsidR="00521C92" w:rsidTr="00521C92">
        <w:trPr>
          <w:tblCellSpacing w:w="15" w:type="dxa"/>
        </w:trPr>
        <w:tc>
          <w:tcPr>
            <w:tcW w:w="0" w:type="auto"/>
            <w:vAlign w:val="center"/>
            <w:hideMark/>
          </w:tcPr>
          <w:p w:rsidR="00521C92" w:rsidRDefault="00521C92">
            <w:r>
              <w:rPr>
                <w:rStyle w:val="Strong"/>
              </w:rPr>
              <w:t>People</w:t>
            </w:r>
          </w:p>
        </w:tc>
        <w:tc>
          <w:tcPr>
            <w:tcW w:w="0" w:type="auto"/>
            <w:vAlign w:val="center"/>
            <w:hideMark/>
          </w:tcPr>
          <w:p w:rsidR="00521C92" w:rsidRDefault="00521C92">
            <w:r>
              <w:t>Train researchers and technical staff; establish mentorship networks; promote women’s participation and leadership in data science.</w:t>
            </w:r>
          </w:p>
        </w:tc>
      </w:tr>
      <w:tr w:rsidR="00521C92" w:rsidTr="00521C92">
        <w:trPr>
          <w:tblCellSpacing w:w="15" w:type="dxa"/>
        </w:trPr>
        <w:tc>
          <w:tcPr>
            <w:tcW w:w="0" w:type="auto"/>
            <w:vAlign w:val="center"/>
            <w:hideMark/>
          </w:tcPr>
          <w:p w:rsidR="00521C92" w:rsidRDefault="00521C92">
            <w:r>
              <w:rPr>
                <w:rStyle w:val="Strong"/>
              </w:rPr>
              <w:t>Networks &amp; Partnerships</w:t>
            </w:r>
          </w:p>
        </w:tc>
        <w:tc>
          <w:tcPr>
            <w:tcW w:w="0" w:type="auto"/>
            <w:vAlign w:val="center"/>
            <w:hideMark/>
          </w:tcPr>
          <w:p w:rsidR="00521C92" w:rsidRDefault="00521C92">
            <w:r>
              <w:t xml:space="preserve">Strengthen collaborations with UHasselt, KEMRI, the Ministry of Health, and regional universities; </w:t>
            </w:r>
            <w:proofErr w:type="spellStart"/>
            <w:r>
              <w:t>organise</w:t>
            </w:r>
            <w:proofErr w:type="spellEnd"/>
            <w:r>
              <w:t xml:space="preserve"> annual East African Data Science Symposiums.</w:t>
            </w:r>
          </w:p>
        </w:tc>
      </w:tr>
      <w:tr w:rsidR="00521C92" w:rsidTr="00521C92">
        <w:trPr>
          <w:tblCellSpacing w:w="15" w:type="dxa"/>
        </w:trPr>
        <w:tc>
          <w:tcPr>
            <w:tcW w:w="0" w:type="auto"/>
            <w:vAlign w:val="center"/>
            <w:hideMark/>
          </w:tcPr>
          <w:p w:rsidR="00521C92" w:rsidRDefault="00521C92">
            <w:r>
              <w:rPr>
                <w:rStyle w:val="Strong"/>
              </w:rPr>
              <w:t>Outreach &amp; Policy Support</w:t>
            </w:r>
          </w:p>
        </w:tc>
        <w:tc>
          <w:tcPr>
            <w:tcW w:w="0" w:type="auto"/>
            <w:vAlign w:val="center"/>
            <w:hideMark/>
          </w:tcPr>
          <w:p w:rsidR="00521C92" w:rsidRDefault="00521C92">
            <w:r>
              <w:t>Develop knowledge translation products (policy briefs, dashboards); engage policymakers for uptake and application of evidence.</w:t>
            </w:r>
          </w:p>
        </w:tc>
      </w:tr>
    </w:tbl>
    <w:p w:rsidR="00521C92" w:rsidRDefault="00521C92" w:rsidP="00521C92">
      <w:r>
        <w:pict>
          <v:rect id="_x0000_i1029" style="width:0;height:1.5pt" o:hralign="center" o:hrstd="t" o:hr="t" fillcolor="#a0a0a0" stroked="f"/>
        </w:pict>
      </w:r>
    </w:p>
    <w:p w:rsidR="00521C92" w:rsidRDefault="00521C92" w:rsidP="00521C92">
      <w:pPr>
        <w:pStyle w:val="Heading3"/>
      </w:pPr>
      <w:r>
        <w:rPr>
          <w:rStyle w:val="Strong"/>
          <w:b/>
          <w:bCs w:val="0"/>
        </w:rPr>
        <w:t>Integration of SDG Principles</w:t>
      </w:r>
    </w:p>
    <w:p w:rsidR="00521C92" w:rsidRDefault="00521C92" w:rsidP="00521C92">
      <w:pPr>
        <w:pStyle w:val="Heading4"/>
      </w:pPr>
      <w:r>
        <w:rPr>
          <w:rStyle w:val="Strong"/>
          <w:rFonts w:eastAsiaTheme="majorEastAsia"/>
          <w:b/>
          <w:bCs/>
        </w:rPr>
        <w:t>Leaving No One Behind</w:t>
      </w:r>
    </w:p>
    <w:p w:rsidR="00521C92" w:rsidRDefault="00521C92" w:rsidP="00521C92">
      <w:pPr>
        <w:pStyle w:val="NormalWeb"/>
      </w:pPr>
      <w:r>
        <w:t xml:space="preserve">The project adopts inclusive selection criteria for trainees, ensuring gender equity, regional representation, and opportunities for young scientists. Training modules integrate gender-disaggregated analysis, and KIPRE will appoint a </w:t>
      </w:r>
      <w:r>
        <w:rPr>
          <w:rStyle w:val="Strong"/>
          <w:rFonts w:eastAsiaTheme="majorEastAsia"/>
        </w:rPr>
        <w:t>Gender Focal Point</w:t>
      </w:r>
      <w:r>
        <w:t xml:space="preserve"> within DSAC.</w:t>
      </w:r>
    </w:p>
    <w:p w:rsidR="00521C92" w:rsidRDefault="00521C92" w:rsidP="00521C92">
      <w:pPr>
        <w:pStyle w:val="Heading4"/>
      </w:pPr>
      <w:r>
        <w:rPr>
          <w:rStyle w:val="Strong"/>
          <w:rFonts w:eastAsiaTheme="majorEastAsia"/>
          <w:b/>
          <w:bCs/>
        </w:rPr>
        <w:t>Interconnectedness &amp; Indivisibility</w:t>
      </w:r>
    </w:p>
    <w:p w:rsidR="00521C92" w:rsidRDefault="00521C92" w:rsidP="00521C92">
      <w:pPr>
        <w:pStyle w:val="NormalWeb"/>
      </w:pPr>
      <w:r>
        <w:t xml:space="preserve">Activities </w:t>
      </w:r>
      <w:proofErr w:type="gramStart"/>
      <w:r>
        <w:t>are designed</w:t>
      </w:r>
      <w:proofErr w:type="gramEnd"/>
      <w:r>
        <w:t xml:space="preserve"> under the </w:t>
      </w:r>
      <w:r>
        <w:rPr>
          <w:rStyle w:val="Strong"/>
          <w:rFonts w:eastAsiaTheme="majorEastAsia"/>
        </w:rPr>
        <w:t>One Health framework</w:t>
      </w:r>
      <w:r>
        <w:t xml:space="preserve">, </w:t>
      </w:r>
      <w:proofErr w:type="spellStart"/>
      <w:r>
        <w:t>recognising</w:t>
      </w:r>
      <w:proofErr w:type="spellEnd"/>
      <w:r>
        <w:t xml:space="preserve"> the interdependence of health, environment, and socio-economic development. Environmental sustainability </w:t>
      </w:r>
      <w:proofErr w:type="gramStart"/>
      <w:r>
        <w:t>will be mainstreamed</w:t>
      </w:r>
      <w:proofErr w:type="gramEnd"/>
      <w:r>
        <w:t xml:space="preserve"> through green ICT infrastructure and eco-efficient data storage systems.</w:t>
      </w:r>
    </w:p>
    <w:p w:rsidR="00521C92" w:rsidRDefault="00521C92" w:rsidP="00521C92">
      <w:pPr>
        <w:pStyle w:val="Heading4"/>
      </w:pPr>
      <w:r>
        <w:rPr>
          <w:rStyle w:val="Strong"/>
          <w:rFonts w:eastAsiaTheme="majorEastAsia"/>
          <w:b/>
          <w:bCs/>
        </w:rPr>
        <w:t>Multi-institutional and Multi-stakeholder Partnerships</w:t>
      </w:r>
    </w:p>
    <w:p w:rsidR="00521C92" w:rsidRDefault="00521C92" w:rsidP="00521C92">
      <w:pPr>
        <w:pStyle w:val="NormalWeb"/>
      </w:pPr>
      <w:r>
        <w:t xml:space="preserve">The project anchors collaboration between </w:t>
      </w:r>
      <w:r>
        <w:rPr>
          <w:rStyle w:val="Strong"/>
          <w:rFonts w:eastAsiaTheme="majorEastAsia"/>
        </w:rPr>
        <w:t>KIPRE</w:t>
      </w:r>
      <w:r>
        <w:t xml:space="preserve">, </w:t>
      </w:r>
      <w:r>
        <w:rPr>
          <w:rStyle w:val="Strong"/>
          <w:rFonts w:eastAsiaTheme="majorEastAsia"/>
        </w:rPr>
        <w:t>UHasselt</w:t>
      </w:r>
      <w:r>
        <w:t xml:space="preserve">, the </w:t>
      </w:r>
      <w:r>
        <w:rPr>
          <w:rStyle w:val="Strong"/>
          <w:rFonts w:eastAsiaTheme="majorEastAsia"/>
        </w:rPr>
        <w:t>Ministry of Health</w:t>
      </w:r>
      <w:r>
        <w:t xml:space="preserve">, </w:t>
      </w:r>
      <w:r>
        <w:rPr>
          <w:rStyle w:val="Strong"/>
          <w:rFonts w:eastAsiaTheme="majorEastAsia"/>
        </w:rPr>
        <w:t>KEMRI</w:t>
      </w:r>
      <w:r>
        <w:t xml:space="preserve">, and community-based </w:t>
      </w:r>
      <w:proofErr w:type="spellStart"/>
      <w:r>
        <w:t>organisations</w:t>
      </w:r>
      <w:proofErr w:type="spellEnd"/>
      <w:r>
        <w:t>. These partnerships ensure joint ownership, local relevance, and continuity of impact beyond the funding period.</w:t>
      </w:r>
    </w:p>
    <w:p w:rsidR="00521C92" w:rsidRDefault="00521C92" w:rsidP="00521C92">
      <w:r>
        <w:pict>
          <v:rect id="_x0000_i1030" style="width:0;height:1.5pt" o:hralign="center" o:hrstd="t" o:hr="t" fillcolor="#a0a0a0" stroked="f"/>
        </w:pict>
      </w:r>
    </w:p>
    <w:p w:rsidR="00521C92" w:rsidRDefault="00521C92" w:rsidP="00521C92">
      <w:pPr>
        <w:pStyle w:val="Heading3"/>
      </w:pPr>
      <w:r>
        <w:rPr>
          <w:rStyle w:val="Strong"/>
          <w:b/>
          <w:bCs w:val="0"/>
        </w:rPr>
        <w:t>Sustainability and Uptake Strategy</w:t>
      </w:r>
    </w:p>
    <w:p w:rsidR="00521C92" w:rsidRDefault="00521C92" w:rsidP="00521C92">
      <w:pPr>
        <w:pStyle w:val="NormalWeb"/>
      </w:pPr>
      <w:r>
        <w:t xml:space="preserve">From inception, the project embeds mechanisms for </w:t>
      </w:r>
      <w:r>
        <w:rPr>
          <w:rStyle w:val="Strong"/>
          <w:rFonts w:eastAsiaTheme="majorEastAsia"/>
        </w:rPr>
        <w:t>societal uptake</w:t>
      </w:r>
      <w:r>
        <w:t xml:space="preserve"> of research results:</w:t>
      </w:r>
    </w:p>
    <w:p w:rsidR="00521C92" w:rsidRDefault="00521C92" w:rsidP="00521C92">
      <w:pPr>
        <w:pStyle w:val="NormalWeb"/>
        <w:numPr>
          <w:ilvl w:val="0"/>
          <w:numId w:val="13"/>
        </w:numPr>
      </w:pPr>
      <w:r>
        <w:t xml:space="preserve">Establishing </w:t>
      </w:r>
      <w:r>
        <w:rPr>
          <w:rStyle w:val="Strong"/>
          <w:rFonts w:eastAsiaTheme="majorEastAsia"/>
        </w:rPr>
        <w:t>policy engagement platforms</w:t>
      </w:r>
      <w:r>
        <w:t xml:space="preserve"> linking DSAC outputs to government decision-making.</w:t>
      </w:r>
    </w:p>
    <w:p w:rsidR="00521C92" w:rsidRDefault="00521C92" w:rsidP="00521C92">
      <w:pPr>
        <w:pStyle w:val="NormalWeb"/>
        <w:numPr>
          <w:ilvl w:val="0"/>
          <w:numId w:val="13"/>
        </w:numPr>
      </w:pPr>
      <w:r>
        <w:t xml:space="preserve">Creating </w:t>
      </w:r>
      <w:r>
        <w:rPr>
          <w:rStyle w:val="Strong"/>
          <w:rFonts w:eastAsiaTheme="majorEastAsia"/>
        </w:rPr>
        <w:t>digital dashboards and data-sharing frameworks</w:t>
      </w:r>
      <w:r>
        <w:t xml:space="preserve"> accessible to local research institutions.</w:t>
      </w:r>
    </w:p>
    <w:p w:rsidR="00521C92" w:rsidRDefault="00521C92" w:rsidP="00521C92">
      <w:pPr>
        <w:pStyle w:val="NormalWeb"/>
        <w:numPr>
          <w:ilvl w:val="0"/>
          <w:numId w:val="13"/>
        </w:numPr>
      </w:pPr>
      <w:r>
        <w:t xml:space="preserve">Strengthening KIPRE’s institutional sustainability through resource </w:t>
      </w:r>
      <w:proofErr w:type="spellStart"/>
      <w:r>
        <w:t>mobilisation</w:t>
      </w:r>
      <w:proofErr w:type="spellEnd"/>
      <w:r>
        <w:t>, alumni engagement, and integration of DSAC within its long-term strategy.</w:t>
      </w:r>
    </w:p>
    <w:p w:rsidR="00521C92" w:rsidRDefault="00521C92" w:rsidP="00521C92">
      <w:r>
        <w:pict>
          <v:rect id="_x0000_i1031" style="width:0;height:1.5pt" o:hralign="center" o:hrstd="t" o:hr="t" fillcolor="#a0a0a0" stroked="f"/>
        </w:pict>
      </w:r>
    </w:p>
    <w:p w:rsidR="00521C92" w:rsidRDefault="00521C92" w:rsidP="00521C92">
      <w:pPr>
        <w:pStyle w:val="Heading3"/>
      </w:pPr>
      <w:r>
        <w:rPr>
          <w:rStyle w:val="Strong"/>
          <w:b/>
          <w:bCs w:val="0"/>
        </w:rPr>
        <w:t>Summary Table of the Theory of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7973"/>
      </w:tblGrid>
      <w:tr w:rsidR="00521C92" w:rsidTr="00521C92">
        <w:trPr>
          <w:tblHeader/>
          <w:tblCellSpacing w:w="15" w:type="dxa"/>
        </w:trPr>
        <w:tc>
          <w:tcPr>
            <w:tcW w:w="0" w:type="auto"/>
            <w:vAlign w:val="center"/>
            <w:hideMark/>
          </w:tcPr>
          <w:p w:rsidR="00521C92" w:rsidRDefault="00521C92">
            <w:pPr>
              <w:jc w:val="center"/>
              <w:rPr>
                <w:b/>
                <w:bCs/>
              </w:rPr>
            </w:pPr>
            <w:r>
              <w:rPr>
                <w:rStyle w:val="Strong"/>
              </w:rPr>
              <w:t>Impact (15 years)</w:t>
            </w:r>
          </w:p>
        </w:tc>
        <w:tc>
          <w:tcPr>
            <w:tcW w:w="0" w:type="auto"/>
            <w:vAlign w:val="center"/>
            <w:hideMark/>
          </w:tcPr>
          <w:p w:rsidR="00521C92" w:rsidRDefault="00521C92">
            <w:pPr>
              <w:jc w:val="center"/>
              <w:rPr>
                <w:b/>
                <w:bCs/>
              </w:rPr>
            </w:pPr>
            <w:r>
              <w:rPr>
                <w:b/>
                <w:bCs/>
              </w:rPr>
              <w:t>Resilient, inclusive, and data-driven biomedical and environmental research ecosystem in Kenya, enabling evidence-based policy and improved population health outcomes.</w:t>
            </w:r>
          </w:p>
        </w:tc>
      </w:tr>
      <w:tr w:rsidR="00521C92" w:rsidTr="00521C92">
        <w:trPr>
          <w:tblCellSpacing w:w="15" w:type="dxa"/>
        </w:trPr>
        <w:tc>
          <w:tcPr>
            <w:tcW w:w="0" w:type="auto"/>
            <w:vAlign w:val="center"/>
            <w:hideMark/>
          </w:tcPr>
          <w:p w:rsidR="00521C92" w:rsidRDefault="00521C92">
            <w:r>
              <w:rPr>
                <w:rStyle w:val="Strong"/>
              </w:rPr>
              <w:t>Outcomes (5 years)</w:t>
            </w:r>
          </w:p>
        </w:tc>
        <w:tc>
          <w:tcPr>
            <w:tcW w:w="0" w:type="auto"/>
            <w:vAlign w:val="center"/>
            <w:hideMark/>
          </w:tcPr>
          <w:p w:rsidR="00521C92" w:rsidRDefault="00521C92">
            <w:r>
              <w:t>1. Enhanced capacity of researchers and ICT staff in data science. 2. Functional DSAC with FAIR-compliant governance. 3. Evidence uptake by policymakers and stakeholders.</w:t>
            </w:r>
          </w:p>
        </w:tc>
      </w:tr>
      <w:tr w:rsidR="00521C92" w:rsidTr="00521C92">
        <w:trPr>
          <w:tblCellSpacing w:w="15" w:type="dxa"/>
        </w:trPr>
        <w:tc>
          <w:tcPr>
            <w:tcW w:w="0" w:type="auto"/>
            <w:vAlign w:val="center"/>
            <w:hideMark/>
          </w:tcPr>
          <w:p w:rsidR="00521C92" w:rsidRDefault="00521C92">
            <w:r>
              <w:rPr>
                <w:rStyle w:val="Strong"/>
              </w:rPr>
              <w:t>Outputs (3 years)</w:t>
            </w:r>
          </w:p>
        </w:tc>
        <w:tc>
          <w:tcPr>
            <w:tcW w:w="0" w:type="auto"/>
            <w:vAlign w:val="center"/>
            <w:hideMark/>
          </w:tcPr>
          <w:p w:rsidR="00521C92" w:rsidRDefault="00521C92">
            <w:r>
              <w:t xml:space="preserve">Training </w:t>
            </w:r>
            <w:proofErr w:type="spellStart"/>
            <w:r>
              <w:t>programmes</w:t>
            </w:r>
            <w:proofErr w:type="spellEnd"/>
            <w:r>
              <w:t xml:space="preserve"> delivered, DSAC operational, open datasets published, gender action plan implemented, and annual regional symposiums conducted.</w:t>
            </w:r>
          </w:p>
        </w:tc>
      </w:tr>
    </w:tbl>
    <w:p w:rsidR="00521C92" w:rsidRDefault="00521C92" w:rsidP="00521C92">
      <w:bookmarkStart w:id="0" w:name="_GoBack"/>
      <w:bookmarkEnd w:id="0"/>
    </w:p>
    <w:p w:rsidR="006172BB" w:rsidRDefault="006172BB" w:rsidP="006172BB">
      <w:pPr>
        <w:spacing w:before="100" w:beforeAutospacing="1" w:after="100" w:afterAutospacing="1" w:line="240" w:lineRule="auto"/>
        <w:outlineLvl w:val="1"/>
      </w:pPr>
    </w:p>
    <w:sectPr w:rsidR="006172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9713D575-6539-488E-A905-8A57C1C98E7B}"/>
    <w:embedBold r:id="rId2" w:fontKey="{B8D18E5B-9FB0-4084-8566-6F592F69AE4F}"/>
  </w:font>
  <w:font w:name="Calibri">
    <w:panose1 w:val="020F0502020204030204"/>
    <w:charset w:val="00"/>
    <w:family w:val="swiss"/>
    <w:pitch w:val="variable"/>
    <w:sig w:usb0="E4002EFF" w:usb1="C200247B" w:usb2="00000009" w:usb3="00000000" w:csb0="000001FF" w:csb1="00000000"/>
    <w:embedRegular r:id="rId3" w:fontKey="{F1209FCF-AA5F-4D51-9B3C-6DF88A63B8C6}"/>
    <w:embedBold r:id="rId4" w:fontKey="{5EF20229-92C3-4C22-9595-248397F0263C}"/>
    <w:embedItalic r:id="rId5" w:fontKey="{5A01484C-8856-4B37-B716-4121E1635BD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46013"/>
    <w:multiLevelType w:val="multilevel"/>
    <w:tmpl w:val="2BC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C6F28"/>
    <w:multiLevelType w:val="multilevel"/>
    <w:tmpl w:val="497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B17FC"/>
    <w:multiLevelType w:val="multilevel"/>
    <w:tmpl w:val="8AFECA8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3B013A5"/>
    <w:multiLevelType w:val="multilevel"/>
    <w:tmpl w:val="8FF66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4F662A"/>
    <w:multiLevelType w:val="multilevel"/>
    <w:tmpl w:val="5CD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1E0AD3"/>
    <w:multiLevelType w:val="multilevel"/>
    <w:tmpl w:val="DE4E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0A4360"/>
    <w:multiLevelType w:val="multilevel"/>
    <w:tmpl w:val="E59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61B7E"/>
    <w:multiLevelType w:val="multilevel"/>
    <w:tmpl w:val="D1F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7"/>
  </w:num>
  <w:num w:numId="4">
    <w:abstractNumId w:val="7"/>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9"/>
  </w:num>
  <w:num w:numId="9">
    <w:abstractNumId w:val="4"/>
  </w:num>
  <w:num w:numId="10">
    <w:abstractNumId w:val="6"/>
  </w:num>
  <w:num w:numId="11">
    <w:abstractNumId w:val="8"/>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FFE"/>
    <w:rsid w:val="001070D1"/>
    <w:rsid w:val="00131749"/>
    <w:rsid w:val="00521C92"/>
    <w:rsid w:val="006172BB"/>
    <w:rsid w:val="00692E46"/>
    <w:rsid w:val="00796526"/>
    <w:rsid w:val="00A50E3A"/>
    <w:rsid w:val="00E45FFE"/>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808F6-E553-4526-A73C-EFDDB64B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796526"/>
    <w:pPr>
      <w:numPr>
        <w:numId w:val="5"/>
      </w:numPr>
      <w:spacing w:before="100" w:line="240" w:lineRule="auto"/>
      <w:ind w:left="360" w:hanging="360"/>
      <w:outlineLvl w:val="1"/>
      <w15:collapsed/>
    </w:pPr>
    <w:rPr>
      <w:rFonts w:asciiTheme="majorHAnsi" w:eastAsiaTheme="majorEastAsia" w:hAnsiTheme="majorHAnsi" w:cstheme="majorBidi"/>
      <w:b/>
      <w:sz w:val="28"/>
      <w:szCs w:val="26"/>
    </w:rPr>
  </w:style>
  <w:style w:type="paragraph" w:styleId="Heading3">
    <w:name w:val="heading 3"/>
    <w:next w:val="Normal"/>
    <w:link w:val="Heading3Char"/>
    <w:autoRedefine/>
    <w:uiPriority w:val="9"/>
    <w:unhideWhenUsed/>
    <w:qFormat/>
    <w:rsid w:val="00796526"/>
    <w:pPr>
      <w:tabs>
        <w:tab w:val="num" w:pos="720"/>
      </w:tabs>
      <w:ind w:left="360" w:hanging="360"/>
      <w:outlineLvl w:val="2"/>
    </w:pPr>
    <w:rPr>
      <w:rFonts w:asciiTheme="majorHAnsi" w:eastAsiaTheme="majorEastAsia" w:hAnsiTheme="majorHAnsi" w:cstheme="majorBidi"/>
      <w:b/>
      <w:sz w:val="24"/>
      <w:szCs w:val="24"/>
    </w:rPr>
  </w:style>
  <w:style w:type="paragraph" w:styleId="Heading4">
    <w:name w:val="heading 4"/>
    <w:basedOn w:val="Normal"/>
    <w:link w:val="Heading4Char"/>
    <w:uiPriority w:val="9"/>
    <w:qFormat/>
    <w:rsid w:val="001070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796526"/>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1317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1749"/>
    <w:rPr>
      <w:b/>
      <w:bCs/>
    </w:rPr>
  </w:style>
  <w:style w:type="character" w:styleId="Emphasis">
    <w:name w:val="Emphasis"/>
    <w:basedOn w:val="DefaultParagraphFont"/>
    <w:uiPriority w:val="20"/>
    <w:qFormat/>
    <w:rsid w:val="00131749"/>
    <w:rPr>
      <w:i/>
      <w:iCs/>
    </w:rPr>
  </w:style>
  <w:style w:type="character" w:customStyle="1" w:styleId="Heading4Char">
    <w:name w:val="Heading 4 Char"/>
    <w:basedOn w:val="DefaultParagraphFont"/>
    <w:link w:val="Heading4"/>
    <w:uiPriority w:val="9"/>
    <w:rsid w:val="001070D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180526">
      <w:bodyDiv w:val="1"/>
      <w:marLeft w:val="0"/>
      <w:marRight w:val="0"/>
      <w:marTop w:val="0"/>
      <w:marBottom w:val="0"/>
      <w:divBdr>
        <w:top w:val="none" w:sz="0" w:space="0" w:color="auto"/>
        <w:left w:val="none" w:sz="0" w:space="0" w:color="auto"/>
        <w:bottom w:val="none" w:sz="0" w:space="0" w:color="auto"/>
        <w:right w:val="none" w:sz="0" w:space="0" w:color="auto"/>
      </w:divBdr>
    </w:div>
    <w:div w:id="402340479">
      <w:bodyDiv w:val="1"/>
      <w:marLeft w:val="0"/>
      <w:marRight w:val="0"/>
      <w:marTop w:val="0"/>
      <w:marBottom w:val="0"/>
      <w:divBdr>
        <w:top w:val="none" w:sz="0" w:space="0" w:color="auto"/>
        <w:left w:val="none" w:sz="0" w:space="0" w:color="auto"/>
        <w:bottom w:val="none" w:sz="0" w:space="0" w:color="auto"/>
        <w:right w:val="none" w:sz="0" w:space="0" w:color="auto"/>
      </w:divBdr>
    </w:div>
    <w:div w:id="1763719070">
      <w:bodyDiv w:val="1"/>
      <w:marLeft w:val="0"/>
      <w:marRight w:val="0"/>
      <w:marTop w:val="0"/>
      <w:marBottom w:val="0"/>
      <w:divBdr>
        <w:top w:val="none" w:sz="0" w:space="0" w:color="auto"/>
        <w:left w:val="none" w:sz="0" w:space="0" w:color="auto"/>
        <w:bottom w:val="none" w:sz="0" w:space="0" w:color="auto"/>
        <w:right w:val="none" w:sz="0" w:space="0" w:color="auto"/>
      </w:divBdr>
    </w:div>
    <w:div w:id="190221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1794</Words>
  <Characters>10228</Characters>
  <Application>Microsoft Office Word</Application>
  <DocSecurity>0</DocSecurity>
  <Lines>85</Lines>
  <Paragraphs>23</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Module 1: Context Analysis</vt:lpstr>
      <vt:lpstr>        Sustainable Development Context</vt:lpstr>
      <vt:lpstr>        Partner Institutional Context</vt:lpstr>
      <vt:lpstr>        Individual and Organisational Capacity-Building Context</vt:lpstr>
      <vt:lpstr>    Module 2: Project Strategy (Impact Statement and Theory of Change)</vt:lpstr>
      <vt:lpstr>        Impact Statement (The Dream)</vt:lpstr>
      <vt:lpstr>        Step 1 – Identify Areas of Change (Why?)</vt:lpstr>
      <vt:lpstr>        Step 2 – Prioritise Areas of Change (What?)</vt:lpstr>
      <vt:lpstr>        Step 3 – Operational and Methodological Approaches (How?)</vt:lpstr>
      <vt:lpstr>        Key Deliverables and Activities by VLIR-UOS Domain</vt:lpstr>
      <vt:lpstr>        Integration of SDG Principles</vt:lpstr>
      <vt:lpstr>        Sustainability and Uptake Strategy</vt:lpstr>
      <vt:lpstr>        Summary Table of the Theory of Change</vt:lpstr>
      <vt:lpstr>    </vt:lpstr>
    </vt:vector>
  </TitlesOfParts>
  <Company/>
  <LinksUpToDate>false</LinksUpToDate>
  <CharactersWithSpaces>11999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2</cp:revision>
  <dcterms:created xsi:type="dcterms:W3CDTF">2025-11-02T14:28:00Z</dcterms:created>
  <dcterms:modified xsi:type="dcterms:W3CDTF">2025-11-02T14:41:00Z</dcterms:modified>
</cp:coreProperties>
</file>