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9C4A2" w14:textId="23B608FD" w:rsidR="005855B1" w:rsidRPr="005A2E37" w:rsidRDefault="005855B1">
      <w:pPr>
        <w:spacing w:after="210" w:line="360" w:lineRule="auto"/>
        <w:rPr>
          <w:rFonts w:ascii="12" w:eastAsia="inter" w:hAnsi="12" w:cs="inter"/>
          <w:color w:val="000000"/>
          <w:sz w:val="24"/>
          <w:szCs w:val="24"/>
        </w:rPr>
      </w:pPr>
      <w:r w:rsidRPr="005A2E37">
        <w:rPr>
          <w:rFonts w:ascii="12" w:eastAsia="inter" w:hAnsi="12" w:cs="inter"/>
          <w:bCs/>
          <w:color w:val="000000"/>
          <w:sz w:val="24"/>
          <w:szCs w:val="24"/>
        </w:rPr>
        <w:t xml:space="preserve">This document is </w:t>
      </w:r>
      <w:r w:rsidRPr="005A2E37">
        <w:rPr>
          <w:rFonts w:ascii="12" w:eastAsia="inter" w:hAnsi="12" w:cs="inter"/>
          <w:color w:val="000000"/>
          <w:sz w:val="24"/>
          <w:szCs w:val="24"/>
        </w:rPr>
        <w:t xml:space="preserve">based on the Kenya Institute of Primate Research (KIPRE) 2023-2027 Strategic Plan document. </w:t>
      </w:r>
      <w:r w:rsidR="005A2E37">
        <w:rPr>
          <w:rFonts w:ascii="12" w:eastAsia="inter" w:hAnsi="12" w:cs="inter"/>
          <w:color w:val="000000"/>
          <w:sz w:val="24"/>
          <w:szCs w:val="24"/>
        </w:rPr>
        <w:t xml:space="preserve">Its </w:t>
      </w:r>
      <w:r w:rsidRPr="005A2E37">
        <w:rPr>
          <w:rFonts w:ascii="12" w:eastAsia="inter" w:hAnsi="12" w:cs="inter"/>
          <w:color w:val="000000"/>
          <w:sz w:val="24"/>
          <w:szCs w:val="24"/>
        </w:rPr>
        <w:t xml:space="preserve">aim is to contextualize the Data science and analytics section (DS&amp;AS) as per the </w:t>
      </w:r>
      <w:r w:rsidR="005A2E37" w:rsidRPr="005A2E37">
        <w:rPr>
          <w:rFonts w:ascii="12" w:eastAsia="inter" w:hAnsi="12" w:cs="inter"/>
          <w:color w:val="000000"/>
          <w:sz w:val="24"/>
          <w:szCs w:val="24"/>
        </w:rPr>
        <w:t>institute’s</w:t>
      </w:r>
      <w:r w:rsidRPr="005A2E37">
        <w:rPr>
          <w:rFonts w:ascii="12" w:eastAsia="inter" w:hAnsi="12" w:cs="inter"/>
          <w:color w:val="000000"/>
          <w:sz w:val="24"/>
          <w:szCs w:val="24"/>
        </w:rPr>
        <w:t xml:space="preserve"> organogram</w:t>
      </w:r>
      <w:r w:rsidR="005A2E37">
        <w:rPr>
          <w:rFonts w:ascii="12" w:eastAsia="inter" w:hAnsi="12" w:cs="inter"/>
          <w:color w:val="000000"/>
          <w:sz w:val="24"/>
          <w:szCs w:val="24"/>
        </w:rPr>
        <w:t xml:space="preserve">. The section is </w:t>
      </w:r>
      <w:r w:rsidR="005A2E37" w:rsidRPr="005A2E37">
        <w:rPr>
          <w:rFonts w:ascii="12" w:eastAsia="inter" w:hAnsi="12" w:cs="inter"/>
          <w:color w:val="000000"/>
          <w:sz w:val="24"/>
          <w:szCs w:val="24"/>
        </w:rPr>
        <w:t>under</w:t>
      </w:r>
      <w:r w:rsidRPr="005A2E37">
        <w:rPr>
          <w:rFonts w:ascii="12" w:eastAsia="inter" w:hAnsi="12" w:cs="inter"/>
          <w:color w:val="000000"/>
          <w:sz w:val="24"/>
          <w:szCs w:val="24"/>
        </w:rPr>
        <w:t xml:space="preserve"> Research and Product development directorate. </w:t>
      </w:r>
    </w:p>
    <w:p w14:paraId="673C0624" w14:textId="2A0CA11C" w:rsidR="005A2E37" w:rsidRDefault="0044489D" w:rsidP="0044489D">
      <w:pPr>
        <w:spacing w:after="210" w:line="360" w:lineRule="auto"/>
        <w:rPr>
          <w:rFonts w:ascii="12" w:eastAsia="inter" w:hAnsi="12" w:cs="inter"/>
          <w:color w:val="000000"/>
          <w:sz w:val="24"/>
          <w:szCs w:val="24"/>
        </w:rPr>
      </w:pPr>
      <w:r w:rsidRPr="0044489D">
        <w:rPr>
          <w:rFonts w:ascii="12" w:eastAsia="inter" w:hAnsi="12" w:cs="inter"/>
          <w:color w:val="000000"/>
          <w:sz w:val="24"/>
          <w:szCs w:val="24"/>
        </w:rPr>
        <w:t xml:space="preserve">The development of this document is </w:t>
      </w:r>
      <w:r w:rsidR="0092247B" w:rsidRPr="005A2E37">
        <w:rPr>
          <w:rFonts w:ascii="12" w:eastAsia="inter" w:hAnsi="12" w:cs="inter"/>
          <w:color w:val="000000"/>
          <w:sz w:val="24"/>
          <w:szCs w:val="24"/>
        </w:rPr>
        <w:t>cognizant</w:t>
      </w:r>
      <w:r w:rsidRPr="0044489D">
        <w:rPr>
          <w:rFonts w:ascii="12" w:eastAsia="inter" w:hAnsi="12" w:cs="inter"/>
          <w:color w:val="000000"/>
          <w:sz w:val="24"/>
          <w:szCs w:val="24"/>
        </w:rPr>
        <w:t xml:space="preserve"> of the draft data policy that outlined critical information on how data should be handled and the role of the ICT manager and team under the ICT division. </w:t>
      </w:r>
      <w:r w:rsidR="005A2E37">
        <w:rPr>
          <w:rFonts w:ascii="12" w:eastAsia="inter" w:hAnsi="12" w:cs="inter"/>
          <w:color w:val="000000"/>
          <w:sz w:val="24"/>
          <w:szCs w:val="24"/>
        </w:rPr>
        <w:t xml:space="preserve">The ICT division is under the corporate services directory. </w:t>
      </w:r>
    </w:p>
    <w:p w14:paraId="473AE476" w14:textId="77777777" w:rsidR="005A2E37" w:rsidRDefault="0044489D" w:rsidP="0044489D">
      <w:pPr>
        <w:spacing w:after="210" w:line="360" w:lineRule="auto"/>
        <w:rPr>
          <w:rFonts w:ascii="12" w:eastAsia="inter" w:hAnsi="12" w:cs="inter"/>
          <w:color w:val="000000"/>
          <w:sz w:val="24"/>
          <w:szCs w:val="24"/>
        </w:rPr>
      </w:pPr>
      <w:r w:rsidRPr="0044489D">
        <w:rPr>
          <w:rFonts w:ascii="12" w:eastAsia="inter" w:hAnsi="12" w:cs="inter"/>
          <w:color w:val="000000"/>
          <w:sz w:val="24"/>
          <w:szCs w:val="24"/>
        </w:rPr>
        <w:t xml:space="preserve">While </w:t>
      </w:r>
      <w:r w:rsidR="005A2E37">
        <w:rPr>
          <w:rFonts w:ascii="12" w:eastAsia="inter" w:hAnsi="12" w:cs="inter"/>
          <w:color w:val="000000"/>
          <w:sz w:val="24"/>
          <w:szCs w:val="24"/>
        </w:rPr>
        <w:t>data policy</w:t>
      </w:r>
      <w:r w:rsidRPr="0044489D">
        <w:rPr>
          <w:rFonts w:ascii="12" w:eastAsia="inter" w:hAnsi="12" w:cs="inter"/>
          <w:color w:val="000000"/>
          <w:sz w:val="24"/>
          <w:szCs w:val="24"/>
        </w:rPr>
        <w:t xml:space="preserve"> draft is comprehensive and provides a </w:t>
      </w:r>
      <w:r w:rsidR="005A2E37">
        <w:rPr>
          <w:rFonts w:ascii="12" w:eastAsia="inter" w:hAnsi="12" w:cs="inter"/>
          <w:color w:val="000000"/>
          <w:sz w:val="24"/>
          <w:szCs w:val="24"/>
        </w:rPr>
        <w:t>comprehensive</w:t>
      </w:r>
      <w:r w:rsidRPr="0044489D">
        <w:rPr>
          <w:rFonts w:ascii="12" w:eastAsia="inter" w:hAnsi="12" w:cs="inter"/>
          <w:color w:val="000000"/>
          <w:sz w:val="24"/>
          <w:szCs w:val="24"/>
        </w:rPr>
        <w:t xml:space="preserve"> high-level framework, it </w:t>
      </w:r>
      <w:r w:rsidR="005A2E37">
        <w:rPr>
          <w:rFonts w:ascii="12" w:eastAsia="inter" w:hAnsi="12" w:cs="inter"/>
          <w:color w:val="000000"/>
          <w:sz w:val="24"/>
          <w:szCs w:val="24"/>
        </w:rPr>
        <w:t>has</w:t>
      </w:r>
      <w:r w:rsidRPr="0044489D">
        <w:rPr>
          <w:rFonts w:ascii="12" w:eastAsia="inter" w:hAnsi="12" w:cs="inter"/>
          <w:color w:val="000000"/>
          <w:sz w:val="24"/>
          <w:szCs w:val="24"/>
        </w:rPr>
        <w:t xml:space="preserve"> several notable weaknesses that call for strengthening. </w:t>
      </w:r>
      <w:r w:rsidR="005A2E37">
        <w:rPr>
          <w:rFonts w:ascii="12" w:eastAsia="inter" w:hAnsi="12" w:cs="inter"/>
          <w:color w:val="000000"/>
          <w:sz w:val="24"/>
          <w:szCs w:val="24"/>
        </w:rPr>
        <w:t xml:space="preserve">It is important to outline some of them here as an anchor to the main aim of this document. </w:t>
      </w:r>
    </w:p>
    <w:p w14:paraId="245247B3" w14:textId="77777777" w:rsidR="005A2E37" w:rsidRPr="005A2E37" w:rsidRDefault="005A2E37" w:rsidP="005A2E37">
      <w:pPr>
        <w:spacing w:after="210" w:line="360" w:lineRule="auto"/>
        <w:rPr>
          <w:rFonts w:ascii="12" w:eastAsia="inter" w:hAnsi="12" w:cs="inter"/>
          <w:color w:val="000000"/>
          <w:sz w:val="24"/>
          <w:szCs w:val="24"/>
        </w:rPr>
      </w:pPr>
      <w:r w:rsidRPr="005A2E37">
        <w:rPr>
          <w:rFonts w:ascii="12" w:eastAsia="inter" w:hAnsi="12" w:cs="inter"/>
          <w:color w:val="000000"/>
          <w:sz w:val="24"/>
          <w:szCs w:val="24"/>
        </w:rPr>
        <w:t>The draft lacks:</w:t>
      </w:r>
    </w:p>
    <w:p w14:paraId="0A0A5303" w14:textId="3A3683F4" w:rsidR="005A2E37" w:rsidRDefault="005A2E37" w:rsidP="0044489D">
      <w:pPr>
        <w:pStyle w:val="ListParagraph"/>
        <w:numPr>
          <w:ilvl w:val="0"/>
          <w:numId w:val="6"/>
        </w:numPr>
        <w:spacing w:after="210" w:line="360" w:lineRule="auto"/>
        <w:rPr>
          <w:rFonts w:ascii="12" w:eastAsia="inter" w:hAnsi="12" w:cs="inter"/>
          <w:color w:val="000000"/>
          <w:sz w:val="24"/>
          <w:szCs w:val="24"/>
        </w:rPr>
      </w:pPr>
      <w:r>
        <w:rPr>
          <w:rFonts w:ascii="12" w:eastAsia="inter" w:hAnsi="12" w:cs="inter"/>
          <w:color w:val="000000"/>
          <w:sz w:val="24"/>
          <w:szCs w:val="24"/>
        </w:rPr>
        <w:t xml:space="preserve"> A </w:t>
      </w:r>
      <w:r w:rsidR="0044489D" w:rsidRPr="005A2E37">
        <w:rPr>
          <w:rFonts w:ascii="12" w:eastAsia="inter" w:hAnsi="12" w:cs="inter"/>
          <w:color w:val="000000"/>
          <w:sz w:val="24"/>
          <w:szCs w:val="24"/>
        </w:rPr>
        <w:t>detailed implementation procedures and workflows for essential processes</w:t>
      </w:r>
      <w:r>
        <w:rPr>
          <w:rFonts w:ascii="12" w:eastAsia="inter" w:hAnsi="12" w:cs="inter"/>
          <w:color w:val="000000"/>
          <w:sz w:val="24"/>
          <w:szCs w:val="24"/>
        </w:rPr>
        <w:t xml:space="preserve">. This includes </w:t>
      </w:r>
      <w:r w:rsidR="0044489D" w:rsidRPr="005A2E37">
        <w:rPr>
          <w:rFonts w:ascii="12" w:eastAsia="inter" w:hAnsi="12" w:cs="inter"/>
          <w:color w:val="000000"/>
          <w:sz w:val="24"/>
          <w:szCs w:val="24"/>
        </w:rPr>
        <w:t>data sharing</w:t>
      </w:r>
      <w:r>
        <w:rPr>
          <w:rFonts w:ascii="12" w:eastAsia="inter" w:hAnsi="12" w:cs="inter"/>
          <w:color w:val="000000"/>
          <w:sz w:val="24"/>
          <w:szCs w:val="24"/>
        </w:rPr>
        <w:t xml:space="preserve"> processes</w:t>
      </w:r>
      <w:r w:rsidR="0044489D" w:rsidRPr="005A2E37">
        <w:rPr>
          <w:rFonts w:ascii="12" w:eastAsia="inter" w:hAnsi="12" w:cs="inter"/>
          <w:color w:val="000000"/>
          <w:sz w:val="24"/>
          <w:szCs w:val="24"/>
        </w:rPr>
        <w:t>, breach response, and data quality assurance. Specific operational protocols for routine data management, quality control, and audit mechanisms are also insufficiently elaborated</w:t>
      </w:r>
      <w:r>
        <w:rPr>
          <w:rFonts w:ascii="12" w:eastAsia="inter" w:hAnsi="12" w:cs="inter"/>
          <w:color w:val="000000"/>
          <w:sz w:val="24"/>
          <w:szCs w:val="24"/>
        </w:rPr>
        <w:t>.</w:t>
      </w:r>
    </w:p>
    <w:p w14:paraId="01E06A4F" w14:textId="4A52DAE7" w:rsidR="0045258B" w:rsidRDefault="0045258B" w:rsidP="0044489D">
      <w:pPr>
        <w:pStyle w:val="ListParagraph"/>
        <w:numPr>
          <w:ilvl w:val="0"/>
          <w:numId w:val="6"/>
        </w:numPr>
        <w:spacing w:after="210" w:line="360" w:lineRule="auto"/>
        <w:rPr>
          <w:rFonts w:ascii="12" w:eastAsia="inter" w:hAnsi="12" w:cs="inter"/>
          <w:color w:val="000000"/>
          <w:sz w:val="24"/>
          <w:szCs w:val="24"/>
        </w:rPr>
      </w:pPr>
      <w:r>
        <w:rPr>
          <w:rFonts w:ascii="12" w:eastAsia="inter" w:hAnsi="12" w:cs="inter"/>
          <w:color w:val="000000"/>
          <w:sz w:val="24"/>
          <w:szCs w:val="24"/>
        </w:rPr>
        <w:t>E</w:t>
      </w:r>
      <w:r w:rsidR="0044489D" w:rsidRPr="005A2E37">
        <w:rPr>
          <w:rFonts w:ascii="12" w:eastAsia="inter" w:hAnsi="12" w:cs="inter"/>
          <w:color w:val="000000"/>
          <w:sz w:val="24"/>
          <w:szCs w:val="24"/>
        </w:rPr>
        <w:t xml:space="preserve">mphasis on data science integration. Although the draft addresses data protection </w:t>
      </w:r>
      <w:r w:rsidR="005A2E37" w:rsidRPr="005A2E37">
        <w:rPr>
          <w:rFonts w:ascii="12" w:eastAsia="inter" w:hAnsi="12" w:cs="inter"/>
          <w:color w:val="000000"/>
          <w:sz w:val="24"/>
          <w:szCs w:val="24"/>
        </w:rPr>
        <w:t>thoroughly</w:t>
      </w:r>
      <w:r w:rsidR="0044489D" w:rsidRPr="005A2E37">
        <w:rPr>
          <w:rFonts w:ascii="12" w:eastAsia="inter" w:hAnsi="12" w:cs="inter"/>
          <w:color w:val="000000"/>
          <w:sz w:val="24"/>
          <w:szCs w:val="24"/>
        </w:rPr>
        <w:t>, it offers little guidance on how data science and analytics teams can leverage data for advanced analytics, integration, and decision-making support. The policy could better define roles for analytic pipelines, data modelling, and results dissemination within the overall</w:t>
      </w:r>
      <w:r>
        <w:rPr>
          <w:rFonts w:ascii="12" w:eastAsia="inter" w:hAnsi="12" w:cs="inter"/>
          <w:color w:val="000000"/>
          <w:sz w:val="24"/>
          <w:szCs w:val="24"/>
        </w:rPr>
        <w:t xml:space="preserve"> policy</w:t>
      </w:r>
      <w:r w:rsidR="0044489D" w:rsidRPr="005A2E37">
        <w:rPr>
          <w:rFonts w:ascii="12" w:eastAsia="inter" w:hAnsi="12" w:cs="inter"/>
          <w:color w:val="000000"/>
          <w:sz w:val="24"/>
          <w:szCs w:val="24"/>
        </w:rPr>
        <w:t>.</w:t>
      </w:r>
      <w:r>
        <w:rPr>
          <w:rFonts w:ascii="12" w:eastAsia="inter" w:hAnsi="12" w:cs="inter"/>
          <w:color w:val="000000"/>
          <w:sz w:val="24"/>
          <w:szCs w:val="24"/>
        </w:rPr>
        <w:t xml:space="preserve"> The DS&amp;AS team is completely not mentioned, and they are supposed to be great collaborators.</w:t>
      </w:r>
    </w:p>
    <w:p w14:paraId="769A0C26" w14:textId="7CA653C5" w:rsidR="0045258B" w:rsidRDefault="0045258B" w:rsidP="0044489D">
      <w:pPr>
        <w:pStyle w:val="ListParagraph"/>
        <w:numPr>
          <w:ilvl w:val="0"/>
          <w:numId w:val="6"/>
        </w:numPr>
        <w:spacing w:after="210" w:line="360" w:lineRule="auto"/>
        <w:rPr>
          <w:rFonts w:ascii="12" w:eastAsia="inter" w:hAnsi="12" w:cs="inter"/>
          <w:color w:val="000000"/>
          <w:sz w:val="24"/>
          <w:szCs w:val="24"/>
        </w:rPr>
      </w:pPr>
      <w:r>
        <w:rPr>
          <w:rFonts w:ascii="12" w:eastAsia="inter" w:hAnsi="12" w:cs="inter"/>
          <w:color w:val="000000"/>
          <w:sz w:val="24"/>
          <w:szCs w:val="24"/>
        </w:rPr>
        <w:t>A</w:t>
      </w:r>
      <w:r w:rsidR="0044489D" w:rsidRPr="0045258B">
        <w:rPr>
          <w:rFonts w:ascii="12" w:eastAsia="inter" w:hAnsi="12" w:cs="inter"/>
          <w:color w:val="000000"/>
          <w:sz w:val="24"/>
          <w:szCs w:val="24"/>
        </w:rPr>
        <w:t xml:space="preserve">ccessibility and usability </w:t>
      </w:r>
      <w:r>
        <w:rPr>
          <w:rFonts w:ascii="12" w:eastAsia="inter" w:hAnsi="12" w:cs="inter"/>
          <w:color w:val="000000"/>
          <w:sz w:val="24"/>
          <w:szCs w:val="24"/>
        </w:rPr>
        <w:t>protocols</w:t>
      </w:r>
      <w:r w:rsidR="0044489D" w:rsidRPr="0045258B">
        <w:rPr>
          <w:rFonts w:ascii="12" w:eastAsia="inter" w:hAnsi="12" w:cs="inter"/>
          <w:color w:val="000000"/>
          <w:sz w:val="24"/>
          <w:szCs w:val="24"/>
        </w:rPr>
        <w:t xml:space="preserve">. The draft strongly underscores data privacy and safety but lacks clear guidelines on balancing these priorities with legitimate research and collaboration needs. </w:t>
      </w:r>
      <w:r>
        <w:rPr>
          <w:rFonts w:ascii="12" w:eastAsia="inter" w:hAnsi="12" w:cs="inter"/>
          <w:color w:val="000000"/>
          <w:sz w:val="24"/>
          <w:szCs w:val="24"/>
        </w:rPr>
        <w:t>The policy should e</w:t>
      </w:r>
      <w:r w:rsidRPr="0045258B">
        <w:rPr>
          <w:rFonts w:ascii="12" w:eastAsia="inter" w:hAnsi="12" w:cs="inter"/>
          <w:color w:val="000000"/>
          <w:sz w:val="24"/>
          <w:szCs w:val="24"/>
        </w:rPr>
        <w:t>stablish</w:t>
      </w:r>
      <w:r w:rsidR="0044489D" w:rsidRPr="0045258B">
        <w:rPr>
          <w:rFonts w:ascii="12" w:eastAsia="inter" w:hAnsi="12" w:cs="inter"/>
          <w:color w:val="000000"/>
          <w:sz w:val="24"/>
          <w:szCs w:val="24"/>
        </w:rPr>
        <w:t xml:space="preserve"> explicit rules and secure platforms for controlled data access and sharing would help reconcile security with usability.</w:t>
      </w:r>
    </w:p>
    <w:p w14:paraId="3D2976AF" w14:textId="0A060E0A" w:rsidR="0045258B" w:rsidRDefault="00A74725" w:rsidP="0044489D">
      <w:pPr>
        <w:pStyle w:val="ListParagraph"/>
        <w:numPr>
          <w:ilvl w:val="0"/>
          <w:numId w:val="6"/>
        </w:numPr>
        <w:spacing w:after="210" w:line="360" w:lineRule="auto"/>
        <w:rPr>
          <w:rFonts w:ascii="12" w:eastAsia="inter" w:hAnsi="12" w:cs="inter"/>
          <w:color w:val="000000"/>
          <w:sz w:val="24"/>
          <w:szCs w:val="24"/>
        </w:rPr>
      </w:pPr>
      <w:r>
        <w:rPr>
          <w:rFonts w:ascii="12" w:eastAsia="inter" w:hAnsi="12" w:cs="inter"/>
          <w:color w:val="000000"/>
          <w:sz w:val="24"/>
          <w:szCs w:val="24"/>
        </w:rPr>
        <w:t>A c</w:t>
      </w:r>
      <w:r w:rsidR="0045258B">
        <w:rPr>
          <w:rFonts w:ascii="12" w:eastAsia="inter" w:hAnsi="12" w:cs="inter"/>
          <w:color w:val="000000"/>
          <w:sz w:val="24"/>
          <w:szCs w:val="24"/>
        </w:rPr>
        <w:t>omplete t</w:t>
      </w:r>
      <w:r w:rsidR="0044489D" w:rsidRPr="0045258B">
        <w:rPr>
          <w:rFonts w:ascii="12" w:eastAsia="inter" w:hAnsi="12" w:cs="inter"/>
          <w:color w:val="000000"/>
          <w:sz w:val="24"/>
          <w:szCs w:val="24"/>
        </w:rPr>
        <w:t>raining and competency development</w:t>
      </w:r>
      <w:r w:rsidR="0045258B">
        <w:rPr>
          <w:rFonts w:ascii="12" w:eastAsia="inter" w:hAnsi="12" w:cs="inter"/>
          <w:color w:val="000000"/>
          <w:sz w:val="24"/>
          <w:szCs w:val="24"/>
        </w:rPr>
        <w:t xml:space="preserve"> guidelines</w:t>
      </w:r>
      <w:r w:rsidR="0044489D" w:rsidRPr="0045258B">
        <w:rPr>
          <w:rFonts w:ascii="12" w:eastAsia="inter" w:hAnsi="12" w:cs="inter"/>
          <w:color w:val="000000"/>
          <w:sz w:val="24"/>
          <w:szCs w:val="24"/>
        </w:rPr>
        <w:t xml:space="preserve">. </w:t>
      </w:r>
      <w:r w:rsidR="0045258B">
        <w:rPr>
          <w:rFonts w:ascii="12" w:eastAsia="inter" w:hAnsi="12" w:cs="inter"/>
          <w:color w:val="000000"/>
          <w:sz w:val="24"/>
          <w:szCs w:val="24"/>
        </w:rPr>
        <w:t>T</w:t>
      </w:r>
      <w:r w:rsidR="0044489D" w:rsidRPr="0045258B">
        <w:rPr>
          <w:rFonts w:ascii="12" w:eastAsia="inter" w:hAnsi="12" w:cs="inter"/>
          <w:color w:val="000000"/>
          <w:sz w:val="24"/>
          <w:szCs w:val="24"/>
        </w:rPr>
        <w:t>he draft mentions responsibilities for the Data Protection Officer</w:t>
      </w:r>
      <w:r w:rsidR="0045258B">
        <w:rPr>
          <w:rFonts w:ascii="12" w:eastAsia="inter" w:hAnsi="12" w:cs="inter"/>
          <w:color w:val="000000"/>
          <w:sz w:val="24"/>
          <w:szCs w:val="24"/>
        </w:rPr>
        <w:t xml:space="preserve"> (DPO)</w:t>
      </w:r>
      <w:r w:rsidR="0044489D" w:rsidRPr="0045258B">
        <w:rPr>
          <w:rFonts w:ascii="12" w:eastAsia="inter" w:hAnsi="12" w:cs="inter"/>
          <w:color w:val="000000"/>
          <w:sz w:val="24"/>
          <w:szCs w:val="24"/>
        </w:rPr>
        <w:t xml:space="preserve"> and staff training</w:t>
      </w:r>
      <w:r w:rsidR="0045258B">
        <w:rPr>
          <w:rFonts w:ascii="12" w:eastAsia="inter" w:hAnsi="12" w:cs="inter"/>
          <w:color w:val="000000"/>
          <w:sz w:val="24"/>
          <w:szCs w:val="24"/>
        </w:rPr>
        <w:t xml:space="preserve">. </w:t>
      </w:r>
      <w:proofErr w:type="gramStart"/>
      <w:r w:rsidR="0045258B">
        <w:rPr>
          <w:rFonts w:ascii="12" w:eastAsia="inter" w:hAnsi="12" w:cs="inter"/>
          <w:color w:val="000000"/>
          <w:sz w:val="24"/>
          <w:szCs w:val="24"/>
        </w:rPr>
        <w:t xml:space="preserve">However, </w:t>
      </w:r>
      <w:r w:rsidR="0044489D" w:rsidRPr="0045258B">
        <w:rPr>
          <w:rFonts w:ascii="12" w:eastAsia="inter" w:hAnsi="12" w:cs="inter"/>
          <w:color w:val="000000"/>
          <w:sz w:val="24"/>
          <w:szCs w:val="24"/>
        </w:rPr>
        <w:t xml:space="preserve"> it</w:t>
      </w:r>
      <w:proofErr w:type="gramEnd"/>
      <w:r w:rsidR="0044489D" w:rsidRPr="0045258B">
        <w:rPr>
          <w:rFonts w:ascii="12" w:eastAsia="inter" w:hAnsi="12" w:cs="inter"/>
          <w:color w:val="000000"/>
          <w:sz w:val="24"/>
          <w:szCs w:val="24"/>
        </w:rPr>
        <w:t xml:space="preserve"> omits a detailed capacity-building strategy for </w:t>
      </w:r>
      <w:r w:rsidR="0045258B">
        <w:rPr>
          <w:rFonts w:ascii="12" w:eastAsia="inter" w:hAnsi="12" w:cs="inter"/>
          <w:color w:val="000000"/>
          <w:sz w:val="24"/>
          <w:szCs w:val="24"/>
        </w:rPr>
        <w:t>the data policy</w:t>
      </w:r>
      <w:r w:rsidR="0044489D" w:rsidRPr="0045258B">
        <w:rPr>
          <w:rFonts w:ascii="12" w:eastAsia="inter" w:hAnsi="12" w:cs="inter"/>
          <w:color w:val="000000"/>
          <w:sz w:val="24"/>
          <w:szCs w:val="24"/>
        </w:rPr>
        <w:t xml:space="preserve"> and data science skills. </w:t>
      </w:r>
      <w:r w:rsidR="0044489D" w:rsidRPr="0045258B">
        <w:rPr>
          <w:rFonts w:ascii="12" w:eastAsia="inter" w:hAnsi="12" w:cs="inter"/>
          <w:color w:val="000000"/>
          <w:sz w:val="24"/>
          <w:szCs w:val="24"/>
        </w:rPr>
        <w:lastRenderedPageBreak/>
        <w:t xml:space="preserve">Regular training </w:t>
      </w:r>
      <w:r w:rsidR="0045258B" w:rsidRPr="0045258B">
        <w:rPr>
          <w:rFonts w:ascii="12" w:eastAsia="inter" w:hAnsi="12" w:cs="inter"/>
          <w:color w:val="000000"/>
          <w:sz w:val="24"/>
          <w:szCs w:val="24"/>
        </w:rPr>
        <w:t>programs</w:t>
      </w:r>
      <w:r w:rsidR="0044489D" w:rsidRPr="0045258B">
        <w:rPr>
          <w:rFonts w:ascii="12" w:eastAsia="inter" w:hAnsi="12" w:cs="inter"/>
          <w:color w:val="000000"/>
          <w:sz w:val="24"/>
          <w:szCs w:val="24"/>
        </w:rPr>
        <w:t xml:space="preserve"> and assessments for all staff involved in data handling are essential to sustain compliance and build institutional expertise.</w:t>
      </w:r>
    </w:p>
    <w:p w14:paraId="0C2FB929" w14:textId="77777777" w:rsidR="00A74725" w:rsidRDefault="0045258B" w:rsidP="00D078EA">
      <w:pPr>
        <w:pStyle w:val="ListParagraph"/>
        <w:numPr>
          <w:ilvl w:val="0"/>
          <w:numId w:val="6"/>
        </w:numPr>
        <w:spacing w:after="210" w:line="360" w:lineRule="auto"/>
        <w:rPr>
          <w:rFonts w:ascii="12" w:eastAsia="inter" w:hAnsi="12" w:cs="inter"/>
          <w:color w:val="000000"/>
          <w:sz w:val="24"/>
          <w:szCs w:val="24"/>
        </w:rPr>
      </w:pPr>
      <w:r w:rsidRPr="00A74725">
        <w:rPr>
          <w:rFonts w:ascii="12" w:eastAsia="inter" w:hAnsi="12" w:cs="inter"/>
          <w:color w:val="000000"/>
          <w:sz w:val="24"/>
          <w:szCs w:val="24"/>
        </w:rPr>
        <w:t>Clearly defined e</w:t>
      </w:r>
      <w:r w:rsidR="0044489D" w:rsidRPr="00A74725">
        <w:rPr>
          <w:rFonts w:ascii="12" w:eastAsia="inter" w:hAnsi="12" w:cs="inter"/>
          <w:color w:val="000000"/>
          <w:sz w:val="24"/>
          <w:szCs w:val="24"/>
        </w:rPr>
        <w:t xml:space="preserve">nforcement and accountability mechanisms. Although disciplinary measures are </w:t>
      </w:r>
      <w:r w:rsidRPr="00A74725">
        <w:rPr>
          <w:rFonts w:ascii="12" w:eastAsia="inter" w:hAnsi="12" w:cs="inter"/>
          <w:color w:val="000000"/>
          <w:sz w:val="24"/>
          <w:szCs w:val="24"/>
        </w:rPr>
        <w:t>mentioned</w:t>
      </w:r>
      <w:r w:rsidR="0044489D" w:rsidRPr="00A74725">
        <w:rPr>
          <w:rFonts w:ascii="12" w:eastAsia="inter" w:hAnsi="12" w:cs="inter"/>
          <w:color w:val="000000"/>
          <w:sz w:val="24"/>
          <w:szCs w:val="24"/>
        </w:rPr>
        <w:t>, the draft provides limited detail on enforcement procedures, monitoring responsibilities beyond the D</w:t>
      </w:r>
      <w:r w:rsidRPr="00A74725">
        <w:rPr>
          <w:rFonts w:ascii="12" w:eastAsia="inter" w:hAnsi="12" w:cs="inter"/>
          <w:color w:val="000000"/>
          <w:sz w:val="24"/>
          <w:szCs w:val="24"/>
        </w:rPr>
        <w:t>PO</w:t>
      </w:r>
      <w:r w:rsidR="0044489D" w:rsidRPr="00A74725">
        <w:rPr>
          <w:rFonts w:ascii="12" w:eastAsia="inter" w:hAnsi="12" w:cs="inter"/>
          <w:color w:val="000000"/>
          <w:sz w:val="24"/>
          <w:szCs w:val="24"/>
        </w:rPr>
        <w:t xml:space="preserve">, and consequences of non-compliance. </w:t>
      </w:r>
      <w:r w:rsidRPr="00A74725">
        <w:rPr>
          <w:rFonts w:ascii="12" w:eastAsia="inter" w:hAnsi="12" w:cs="inter"/>
          <w:color w:val="000000"/>
          <w:sz w:val="24"/>
          <w:szCs w:val="24"/>
        </w:rPr>
        <w:t xml:space="preserve">The policy needs a clearly assigned monitoring teams or committees that would enhance adherence. </w:t>
      </w:r>
    </w:p>
    <w:p w14:paraId="2EC76663" w14:textId="77777777" w:rsidR="00A74725" w:rsidRDefault="0044489D" w:rsidP="0044489D">
      <w:pPr>
        <w:pStyle w:val="ListParagraph"/>
        <w:numPr>
          <w:ilvl w:val="0"/>
          <w:numId w:val="6"/>
        </w:numPr>
        <w:spacing w:after="210" w:line="360" w:lineRule="auto"/>
        <w:rPr>
          <w:rFonts w:ascii="12" w:eastAsia="inter" w:hAnsi="12" w:cs="inter"/>
          <w:color w:val="000000"/>
          <w:sz w:val="24"/>
          <w:szCs w:val="24"/>
        </w:rPr>
      </w:pPr>
      <w:r w:rsidRPr="0044489D">
        <w:rPr>
          <w:rFonts w:ascii="12" w:eastAsia="inter" w:hAnsi="12" w:cs="inter"/>
          <w:color w:val="000000"/>
          <w:sz w:val="24"/>
          <w:szCs w:val="24"/>
        </w:rPr>
        <w:t>Technolog</w:t>
      </w:r>
      <w:r w:rsidR="00A74725">
        <w:rPr>
          <w:rFonts w:ascii="12" w:eastAsia="inter" w:hAnsi="12" w:cs="inter"/>
          <w:color w:val="000000"/>
          <w:sz w:val="24"/>
          <w:szCs w:val="24"/>
        </w:rPr>
        <w:t>ical</w:t>
      </w:r>
      <w:r w:rsidRPr="0044489D">
        <w:rPr>
          <w:rFonts w:ascii="12" w:eastAsia="inter" w:hAnsi="12" w:cs="inter"/>
          <w:color w:val="000000"/>
          <w:sz w:val="24"/>
          <w:szCs w:val="24"/>
        </w:rPr>
        <w:t xml:space="preserve"> and infrastructur</w:t>
      </w:r>
      <w:r w:rsidR="00A74725">
        <w:rPr>
          <w:rFonts w:ascii="12" w:eastAsia="inter" w:hAnsi="12" w:cs="inter"/>
          <w:color w:val="000000"/>
          <w:sz w:val="24"/>
          <w:szCs w:val="24"/>
        </w:rPr>
        <w:t>al</w:t>
      </w:r>
      <w:r w:rsidRPr="0044489D">
        <w:rPr>
          <w:rFonts w:ascii="12" w:eastAsia="inter" w:hAnsi="12" w:cs="inter"/>
          <w:color w:val="000000"/>
          <w:sz w:val="24"/>
          <w:szCs w:val="24"/>
        </w:rPr>
        <w:t xml:space="preserve"> alignment. The policy offers little information on how current or planned ICT infrastructure and tools will practically support the data </w:t>
      </w:r>
      <w:r w:rsidR="00A74725">
        <w:rPr>
          <w:rFonts w:ascii="12" w:eastAsia="inter" w:hAnsi="12" w:cs="inter"/>
          <w:color w:val="000000"/>
          <w:sz w:val="24"/>
          <w:szCs w:val="24"/>
        </w:rPr>
        <w:t>policy</w:t>
      </w:r>
      <w:r w:rsidRPr="0044489D">
        <w:rPr>
          <w:rFonts w:ascii="12" w:eastAsia="inter" w:hAnsi="12" w:cs="inter"/>
          <w:color w:val="000000"/>
          <w:sz w:val="24"/>
          <w:szCs w:val="24"/>
        </w:rPr>
        <w:t xml:space="preserve"> framework. </w:t>
      </w:r>
      <w:r w:rsidR="00A74725">
        <w:rPr>
          <w:rFonts w:ascii="12" w:eastAsia="inter" w:hAnsi="12" w:cs="inter"/>
          <w:color w:val="000000"/>
          <w:sz w:val="24"/>
          <w:szCs w:val="24"/>
        </w:rPr>
        <w:t xml:space="preserve"> The policy needs a b</w:t>
      </w:r>
      <w:r w:rsidRPr="0044489D">
        <w:rPr>
          <w:rFonts w:ascii="12" w:eastAsia="inter" w:hAnsi="12" w:cs="inter"/>
          <w:color w:val="000000"/>
          <w:sz w:val="24"/>
          <w:szCs w:val="24"/>
        </w:rPr>
        <w:t>etter integration between policy requirements and ICT capabilities</w:t>
      </w:r>
      <w:r w:rsidR="00A74725">
        <w:rPr>
          <w:rFonts w:ascii="12" w:eastAsia="inter" w:hAnsi="12" w:cs="inter"/>
          <w:color w:val="000000"/>
          <w:sz w:val="24"/>
          <w:szCs w:val="24"/>
        </w:rPr>
        <w:t xml:space="preserve">. This may include </w:t>
      </w:r>
      <w:r w:rsidRPr="0044489D">
        <w:rPr>
          <w:rFonts w:ascii="12" w:eastAsia="inter" w:hAnsi="12" w:cs="inter"/>
          <w:color w:val="000000"/>
          <w:sz w:val="24"/>
          <w:szCs w:val="24"/>
        </w:rPr>
        <w:t>automated monitoring, audit trails, and secure data-sharing platforms</w:t>
      </w:r>
      <w:r w:rsidR="00A74725">
        <w:rPr>
          <w:rFonts w:ascii="12" w:eastAsia="inter" w:hAnsi="12" w:cs="inter"/>
          <w:color w:val="000000"/>
          <w:sz w:val="24"/>
          <w:szCs w:val="24"/>
        </w:rPr>
        <w:t xml:space="preserve">. This are supposed to </w:t>
      </w:r>
      <w:r w:rsidRPr="0044489D">
        <w:rPr>
          <w:rFonts w:ascii="12" w:eastAsia="inter" w:hAnsi="12" w:cs="inter"/>
          <w:color w:val="000000"/>
          <w:sz w:val="24"/>
          <w:szCs w:val="24"/>
        </w:rPr>
        <w:t>ensure effective implementation.</w:t>
      </w:r>
    </w:p>
    <w:p w14:paraId="47053FB5" w14:textId="77777777" w:rsidR="00A74725" w:rsidRDefault="0044489D" w:rsidP="0044489D">
      <w:pPr>
        <w:pStyle w:val="ListParagraph"/>
        <w:numPr>
          <w:ilvl w:val="0"/>
          <w:numId w:val="6"/>
        </w:numPr>
        <w:spacing w:after="210" w:line="360" w:lineRule="auto"/>
        <w:rPr>
          <w:rFonts w:ascii="12" w:eastAsia="inter" w:hAnsi="12" w:cs="inter"/>
          <w:color w:val="000000"/>
          <w:sz w:val="24"/>
          <w:szCs w:val="24"/>
        </w:rPr>
      </w:pPr>
      <w:r w:rsidRPr="00A74725">
        <w:rPr>
          <w:rFonts w:ascii="12" w:eastAsia="inter" w:hAnsi="12" w:cs="inter"/>
          <w:color w:val="000000"/>
          <w:sz w:val="24"/>
          <w:szCs w:val="24"/>
        </w:rPr>
        <w:t xml:space="preserve">Stakeholder engagement and communication </w:t>
      </w:r>
      <w:r w:rsidR="00A74725">
        <w:rPr>
          <w:rFonts w:ascii="12" w:eastAsia="inter" w:hAnsi="12" w:cs="inter"/>
          <w:color w:val="000000"/>
          <w:sz w:val="24"/>
          <w:szCs w:val="24"/>
        </w:rPr>
        <w:t>protocols</w:t>
      </w:r>
      <w:r w:rsidRPr="00A74725">
        <w:rPr>
          <w:rFonts w:ascii="12" w:eastAsia="inter" w:hAnsi="12" w:cs="inter"/>
          <w:color w:val="000000"/>
          <w:sz w:val="24"/>
          <w:szCs w:val="24"/>
        </w:rPr>
        <w:t>.</w:t>
      </w:r>
      <w:r w:rsidR="00A74725">
        <w:rPr>
          <w:rFonts w:ascii="12" w:eastAsia="inter" w:hAnsi="12" w:cs="inter"/>
          <w:color w:val="000000"/>
          <w:sz w:val="24"/>
          <w:szCs w:val="24"/>
        </w:rPr>
        <w:t xml:space="preserve"> </w:t>
      </w:r>
      <w:r w:rsidRPr="00A74725">
        <w:rPr>
          <w:rFonts w:ascii="12" w:eastAsia="inter" w:hAnsi="12" w:cs="inter"/>
          <w:color w:val="000000"/>
          <w:sz w:val="24"/>
          <w:szCs w:val="24"/>
        </w:rPr>
        <w:t>The draft focuses primarily on internal compliance</w:t>
      </w:r>
      <w:r w:rsidR="00A74725">
        <w:rPr>
          <w:rFonts w:ascii="12" w:eastAsia="inter" w:hAnsi="12" w:cs="inter"/>
          <w:color w:val="000000"/>
          <w:sz w:val="24"/>
          <w:szCs w:val="24"/>
        </w:rPr>
        <w:t>. There is limited coverage</w:t>
      </w:r>
      <w:r w:rsidRPr="00A74725">
        <w:rPr>
          <w:rFonts w:ascii="12" w:eastAsia="inter" w:hAnsi="12" w:cs="inter"/>
          <w:color w:val="000000"/>
          <w:sz w:val="24"/>
          <w:szCs w:val="24"/>
        </w:rPr>
        <w:t xml:space="preserve"> on strategies for engaging external collaborators, research participants, and the public to ensure transparency in data use and protection. Mechanisms for feedback and dispute resolution with stakeholders should also be clearly articulated.</w:t>
      </w:r>
    </w:p>
    <w:p w14:paraId="3565C83A" w14:textId="4DCDF379" w:rsidR="0044489D" w:rsidRPr="00A74725" w:rsidRDefault="0044489D" w:rsidP="0044489D">
      <w:pPr>
        <w:pStyle w:val="ListParagraph"/>
        <w:numPr>
          <w:ilvl w:val="0"/>
          <w:numId w:val="6"/>
        </w:numPr>
        <w:spacing w:after="210" w:line="360" w:lineRule="auto"/>
        <w:rPr>
          <w:rFonts w:ascii="12" w:eastAsia="inter" w:hAnsi="12" w:cs="inter"/>
          <w:color w:val="000000"/>
          <w:sz w:val="24"/>
          <w:szCs w:val="24"/>
        </w:rPr>
      </w:pPr>
      <w:r w:rsidRPr="00A74725">
        <w:rPr>
          <w:rFonts w:ascii="12" w:eastAsia="inter" w:hAnsi="12" w:cs="inter"/>
          <w:color w:val="000000"/>
          <w:sz w:val="24"/>
          <w:szCs w:val="24"/>
        </w:rPr>
        <w:t>Lastly</w:t>
      </w:r>
      <w:r w:rsidR="00A74725" w:rsidRPr="00A74725">
        <w:rPr>
          <w:rFonts w:ascii="12" w:eastAsia="inter" w:hAnsi="12" w:cs="inter"/>
          <w:color w:val="000000"/>
          <w:sz w:val="24"/>
          <w:szCs w:val="24"/>
        </w:rPr>
        <w:t xml:space="preserve"> but not least</w:t>
      </w:r>
      <w:r w:rsidRPr="00A74725">
        <w:rPr>
          <w:rFonts w:ascii="12" w:eastAsia="inter" w:hAnsi="12" w:cs="inter"/>
          <w:color w:val="000000"/>
          <w:sz w:val="24"/>
          <w:szCs w:val="24"/>
        </w:rPr>
        <w:t xml:space="preserve">, the policy lacks clarity on review frequency and adaptability. There is no clearly defined cycle for reviewing and updating the policy to keep pace with evolving governance standards, technological advancements, or regulatory updates. Adaptive </w:t>
      </w:r>
      <w:r w:rsidR="00A74725">
        <w:rPr>
          <w:rFonts w:ascii="12" w:eastAsia="inter" w:hAnsi="12" w:cs="inter"/>
          <w:color w:val="000000"/>
          <w:sz w:val="24"/>
          <w:szCs w:val="24"/>
        </w:rPr>
        <w:t>policy</w:t>
      </w:r>
      <w:r w:rsidRPr="00A74725">
        <w:rPr>
          <w:rFonts w:ascii="12" w:eastAsia="inter" w:hAnsi="12" w:cs="inter"/>
          <w:color w:val="000000"/>
          <w:sz w:val="24"/>
          <w:szCs w:val="24"/>
        </w:rPr>
        <w:t xml:space="preserve"> is critical to maintain relevance and effectiveness over time.</w:t>
      </w:r>
    </w:p>
    <w:p w14:paraId="498F3A02" w14:textId="628A4BB8" w:rsidR="00A74725" w:rsidRDefault="00A74725" w:rsidP="0044489D">
      <w:pPr>
        <w:spacing w:after="210" w:line="360" w:lineRule="auto"/>
        <w:rPr>
          <w:rFonts w:ascii="12" w:eastAsia="inter" w:hAnsi="12" w:cs="inter"/>
          <w:color w:val="000000"/>
          <w:sz w:val="24"/>
          <w:szCs w:val="24"/>
        </w:rPr>
      </w:pPr>
      <w:r>
        <w:rPr>
          <w:rFonts w:ascii="12" w:eastAsia="inter" w:hAnsi="12" w:cs="inter"/>
          <w:color w:val="000000"/>
          <w:sz w:val="24"/>
          <w:szCs w:val="24"/>
        </w:rPr>
        <w:t>T</w:t>
      </w:r>
      <w:r w:rsidR="0044489D" w:rsidRPr="0044489D">
        <w:rPr>
          <w:rFonts w:ascii="12" w:eastAsia="inter" w:hAnsi="12" w:cs="inter"/>
          <w:color w:val="000000"/>
          <w:sz w:val="24"/>
          <w:szCs w:val="24"/>
        </w:rPr>
        <w:t>hese gaps w</w:t>
      </w:r>
      <w:r>
        <w:rPr>
          <w:rFonts w:ascii="12" w:eastAsia="inter" w:hAnsi="12" w:cs="inter"/>
          <w:color w:val="000000"/>
          <w:sz w:val="24"/>
          <w:szCs w:val="24"/>
        </w:rPr>
        <w:t>ill</w:t>
      </w:r>
      <w:r w:rsidR="0044489D" w:rsidRPr="0044489D">
        <w:rPr>
          <w:rFonts w:ascii="12" w:eastAsia="inter" w:hAnsi="12" w:cs="inter"/>
          <w:color w:val="000000"/>
          <w:sz w:val="24"/>
          <w:szCs w:val="24"/>
        </w:rPr>
        <w:t xml:space="preserve"> help </w:t>
      </w:r>
      <w:r>
        <w:rPr>
          <w:rFonts w:ascii="12" w:eastAsia="inter" w:hAnsi="12" w:cs="inter"/>
          <w:color w:val="000000"/>
          <w:sz w:val="24"/>
          <w:szCs w:val="24"/>
        </w:rPr>
        <w:t>the data</w:t>
      </w:r>
      <w:r w:rsidR="0044489D" w:rsidRPr="0044489D">
        <w:rPr>
          <w:rFonts w:ascii="12" w:eastAsia="inter" w:hAnsi="12" w:cs="inter"/>
          <w:color w:val="000000"/>
          <w:sz w:val="24"/>
          <w:szCs w:val="24"/>
        </w:rPr>
        <w:t xml:space="preserve"> policy </w:t>
      </w:r>
      <w:r>
        <w:rPr>
          <w:rFonts w:ascii="12" w:eastAsia="inter" w:hAnsi="12" w:cs="inter"/>
          <w:color w:val="000000"/>
          <w:sz w:val="24"/>
          <w:szCs w:val="24"/>
        </w:rPr>
        <w:t>to be</w:t>
      </w:r>
      <w:r w:rsidR="0044489D" w:rsidRPr="0044489D">
        <w:rPr>
          <w:rFonts w:ascii="12" w:eastAsia="inter" w:hAnsi="12" w:cs="inter"/>
          <w:color w:val="000000"/>
          <w:sz w:val="24"/>
          <w:szCs w:val="24"/>
        </w:rPr>
        <w:t xml:space="preserve"> more practical, comprehensive, and effective framework that supports both data protection and science-driven innovation. </w:t>
      </w:r>
    </w:p>
    <w:p w14:paraId="682DCF16" w14:textId="77777777" w:rsidR="00A74725" w:rsidRDefault="00A74725" w:rsidP="0044489D">
      <w:pPr>
        <w:spacing w:after="210" w:line="360" w:lineRule="auto"/>
        <w:rPr>
          <w:rFonts w:ascii="12" w:eastAsia="inter" w:hAnsi="12" w:cs="inter"/>
          <w:color w:val="000000"/>
          <w:sz w:val="24"/>
          <w:szCs w:val="24"/>
        </w:rPr>
      </w:pPr>
    </w:p>
    <w:p w14:paraId="66CB1899" w14:textId="77777777" w:rsidR="00A74725" w:rsidRDefault="00A74725" w:rsidP="0044489D">
      <w:pPr>
        <w:spacing w:after="210" w:line="360" w:lineRule="auto"/>
        <w:rPr>
          <w:rFonts w:ascii="12" w:eastAsia="inter" w:hAnsi="12" w:cs="inter"/>
          <w:color w:val="000000"/>
          <w:sz w:val="24"/>
          <w:szCs w:val="24"/>
        </w:rPr>
      </w:pPr>
    </w:p>
    <w:p w14:paraId="56DF4C5E" w14:textId="77777777" w:rsidR="00A74725" w:rsidRDefault="00A74725" w:rsidP="0044489D">
      <w:pPr>
        <w:spacing w:after="210" w:line="360" w:lineRule="auto"/>
        <w:rPr>
          <w:rFonts w:ascii="12" w:eastAsia="inter" w:hAnsi="12" w:cs="inter"/>
          <w:color w:val="000000"/>
          <w:sz w:val="24"/>
          <w:szCs w:val="24"/>
        </w:rPr>
      </w:pPr>
    </w:p>
    <w:p w14:paraId="3A681D9D" w14:textId="77777777" w:rsidR="00A74725" w:rsidRDefault="00A74725" w:rsidP="0044489D">
      <w:pPr>
        <w:spacing w:after="210" w:line="360" w:lineRule="auto"/>
        <w:rPr>
          <w:rFonts w:ascii="12" w:eastAsia="inter" w:hAnsi="12" w:cs="inter"/>
          <w:color w:val="000000"/>
          <w:sz w:val="24"/>
          <w:szCs w:val="24"/>
        </w:rPr>
      </w:pPr>
    </w:p>
    <w:p w14:paraId="5FDAC2C9" w14:textId="77777777" w:rsidR="00181AF6" w:rsidRDefault="0044489D" w:rsidP="0044489D">
      <w:pPr>
        <w:spacing w:after="210" w:line="360" w:lineRule="auto"/>
        <w:rPr>
          <w:rFonts w:ascii="12" w:eastAsia="inter" w:hAnsi="12" w:cs="inter"/>
          <w:color w:val="000000"/>
          <w:sz w:val="24"/>
          <w:szCs w:val="24"/>
        </w:rPr>
      </w:pPr>
      <w:r w:rsidRPr="0044489D">
        <w:rPr>
          <w:rFonts w:ascii="12" w:eastAsia="inter" w:hAnsi="12" w:cs="inter"/>
          <w:color w:val="000000"/>
          <w:sz w:val="24"/>
          <w:szCs w:val="24"/>
        </w:rPr>
        <w:lastRenderedPageBreak/>
        <w:t xml:space="preserve">The </w:t>
      </w:r>
      <w:r w:rsidR="00A74725">
        <w:rPr>
          <w:rFonts w:ascii="12" w:eastAsia="inter" w:hAnsi="12" w:cs="inter"/>
          <w:color w:val="000000"/>
          <w:sz w:val="24"/>
          <w:szCs w:val="24"/>
        </w:rPr>
        <w:t xml:space="preserve">DS&amp;AS </w:t>
      </w:r>
      <w:r w:rsidRPr="0044489D">
        <w:rPr>
          <w:rFonts w:ascii="12" w:eastAsia="inter" w:hAnsi="12" w:cs="inter"/>
          <w:color w:val="000000"/>
          <w:sz w:val="24"/>
          <w:szCs w:val="24"/>
        </w:rPr>
        <w:t xml:space="preserve">section and the </w:t>
      </w:r>
      <w:r w:rsidR="00A74725">
        <w:rPr>
          <w:rFonts w:ascii="12" w:eastAsia="inter" w:hAnsi="12" w:cs="inter"/>
          <w:color w:val="000000"/>
          <w:sz w:val="24"/>
          <w:szCs w:val="24"/>
        </w:rPr>
        <w:t xml:space="preserve">ICT </w:t>
      </w:r>
      <w:r w:rsidRPr="0044489D">
        <w:rPr>
          <w:rFonts w:ascii="12" w:eastAsia="inter" w:hAnsi="12" w:cs="inter"/>
          <w:color w:val="000000"/>
          <w:sz w:val="24"/>
          <w:szCs w:val="24"/>
        </w:rPr>
        <w:t xml:space="preserve">division must work collaboratively to achieve the institution’s goals on data management while adhering to established guidelines and legal requirements. </w:t>
      </w:r>
    </w:p>
    <w:p w14:paraId="1CBF19A9" w14:textId="64CF85E1" w:rsidR="0044489D" w:rsidRDefault="00181AF6" w:rsidP="0044489D">
      <w:pPr>
        <w:spacing w:after="210" w:line="360" w:lineRule="auto"/>
        <w:rPr>
          <w:rFonts w:ascii="12" w:eastAsia="inter" w:hAnsi="12" w:cs="inter"/>
          <w:color w:val="000000"/>
          <w:sz w:val="24"/>
          <w:szCs w:val="24"/>
        </w:rPr>
      </w:pPr>
      <w:r>
        <w:rPr>
          <w:rFonts w:ascii="12" w:eastAsia="inter" w:hAnsi="12" w:cs="inter"/>
          <w:color w:val="000000"/>
          <w:sz w:val="24"/>
          <w:szCs w:val="24"/>
        </w:rPr>
        <w:t xml:space="preserve">The nature of these two important functions may lead to some overlapping or conflicting roles. </w:t>
      </w:r>
      <w:r w:rsidR="0044489D" w:rsidRPr="0044489D">
        <w:rPr>
          <w:rFonts w:ascii="12" w:eastAsia="inter" w:hAnsi="12" w:cs="inter"/>
          <w:color w:val="000000"/>
          <w:sz w:val="24"/>
          <w:szCs w:val="24"/>
        </w:rPr>
        <w:t xml:space="preserve">It is </w:t>
      </w:r>
      <w:r>
        <w:rPr>
          <w:rFonts w:ascii="12" w:eastAsia="inter" w:hAnsi="12" w:cs="inter"/>
          <w:color w:val="000000"/>
          <w:sz w:val="24"/>
          <w:szCs w:val="24"/>
        </w:rPr>
        <w:t>therefore</w:t>
      </w:r>
      <w:r w:rsidR="0044489D" w:rsidRPr="0044489D">
        <w:rPr>
          <w:rFonts w:ascii="12" w:eastAsia="inter" w:hAnsi="12" w:cs="inter"/>
          <w:color w:val="000000"/>
          <w:sz w:val="24"/>
          <w:szCs w:val="24"/>
        </w:rPr>
        <w:t xml:space="preserve"> important to distinguish the roles of these two </w:t>
      </w:r>
      <w:r>
        <w:rPr>
          <w:rFonts w:ascii="12" w:eastAsia="inter" w:hAnsi="12" w:cs="inter"/>
          <w:color w:val="000000"/>
          <w:sz w:val="24"/>
          <w:szCs w:val="24"/>
        </w:rPr>
        <w:t xml:space="preserve">functions. We consult the two documents, KIPRE strategic plan as well as the data policy, to achieve the following distinctive roles for each. </w:t>
      </w:r>
    </w:p>
    <w:p w14:paraId="65527563" w14:textId="41148A32" w:rsidR="00144FE3" w:rsidRPr="00C82EB7" w:rsidRDefault="00000000" w:rsidP="00144FE3">
      <w:pPr>
        <w:numPr>
          <w:ilvl w:val="0"/>
          <w:numId w:val="1"/>
        </w:numPr>
        <w:spacing w:after="210" w:line="360" w:lineRule="auto"/>
        <w:rPr>
          <w:rFonts w:ascii="12" w:hAnsi="12"/>
          <w:sz w:val="24"/>
          <w:szCs w:val="24"/>
        </w:rPr>
      </w:pPr>
      <w:r w:rsidRPr="005A2E37">
        <w:rPr>
          <w:rFonts w:ascii="12" w:eastAsia="inter" w:hAnsi="12" w:cs="inter"/>
          <w:b/>
          <w:color w:val="000000"/>
          <w:sz w:val="24"/>
          <w:szCs w:val="24"/>
        </w:rPr>
        <w:t xml:space="preserve">ICT </w:t>
      </w:r>
      <w:r w:rsidR="006C0365">
        <w:rPr>
          <w:rFonts w:ascii="12" w:eastAsia="inter" w:hAnsi="12" w:cs="inter"/>
          <w:b/>
          <w:color w:val="000000"/>
          <w:sz w:val="24"/>
          <w:szCs w:val="24"/>
        </w:rPr>
        <w:t>Division</w:t>
      </w:r>
    </w:p>
    <w:p w14:paraId="55999CED" w14:textId="50564CF2" w:rsidR="00C82EB7" w:rsidRPr="00C82EB7" w:rsidRDefault="00C82EB7" w:rsidP="00C82EB7">
      <w:pPr>
        <w:spacing w:after="210" w:line="360" w:lineRule="auto"/>
        <w:ind w:left="540"/>
        <w:rPr>
          <w:rFonts w:ascii="12" w:hAnsi="12"/>
          <w:bCs/>
          <w:sz w:val="24"/>
          <w:szCs w:val="24"/>
        </w:rPr>
      </w:pPr>
      <w:r>
        <w:rPr>
          <w:rFonts w:ascii="12" w:eastAsia="inter" w:hAnsi="12" w:cs="inter"/>
          <w:bCs/>
          <w:color w:val="000000"/>
          <w:sz w:val="24"/>
          <w:szCs w:val="24"/>
        </w:rPr>
        <w:t xml:space="preserve">Focuses or should focus on: </w:t>
      </w:r>
    </w:p>
    <w:p w14:paraId="51BFDF12" w14:textId="3F016958" w:rsidR="002317DC" w:rsidRPr="005A2E37" w:rsidRDefault="00000000" w:rsidP="00C82EB7">
      <w:pPr>
        <w:numPr>
          <w:ilvl w:val="1"/>
          <w:numId w:val="7"/>
        </w:numPr>
        <w:spacing w:before="105" w:after="105" w:line="360" w:lineRule="auto"/>
        <w:rPr>
          <w:rFonts w:ascii="12" w:hAnsi="12"/>
          <w:sz w:val="24"/>
          <w:szCs w:val="24"/>
        </w:rPr>
      </w:pPr>
      <w:r w:rsidRPr="005A2E37">
        <w:rPr>
          <w:rFonts w:ascii="12" w:eastAsia="inter" w:hAnsi="12" w:cs="inter"/>
          <w:color w:val="000000"/>
          <w:sz w:val="24"/>
          <w:szCs w:val="24"/>
        </w:rPr>
        <w:t>IT infrastructure, communications technology, network security, databases, and systems that support data storage, security, and access.</w:t>
      </w:r>
    </w:p>
    <w:p w14:paraId="48DD9A05" w14:textId="052417C7" w:rsidR="002317DC" w:rsidRPr="005A2E37" w:rsidRDefault="00C82EB7" w:rsidP="00C82EB7">
      <w:pPr>
        <w:numPr>
          <w:ilvl w:val="1"/>
          <w:numId w:val="7"/>
        </w:numPr>
        <w:spacing w:before="105" w:after="105" w:line="360" w:lineRule="auto"/>
        <w:rPr>
          <w:rFonts w:ascii="12" w:hAnsi="12"/>
          <w:sz w:val="24"/>
          <w:szCs w:val="24"/>
        </w:rPr>
      </w:pPr>
      <w:r>
        <w:rPr>
          <w:rFonts w:ascii="12" w:eastAsia="inter" w:hAnsi="12" w:cs="inter"/>
          <w:color w:val="000000"/>
          <w:sz w:val="24"/>
          <w:szCs w:val="24"/>
        </w:rPr>
        <w:t>U</w:t>
      </w:r>
      <w:r w:rsidRPr="005A2E37">
        <w:rPr>
          <w:rFonts w:ascii="12" w:eastAsia="inter" w:hAnsi="12" w:cs="inter"/>
          <w:color w:val="000000"/>
          <w:sz w:val="24"/>
          <w:szCs w:val="24"/>
        </w:rPr>
        <w:t>pgrading ICT infrastructure, deploying ERP systems, ensuring cyber security, and maintaining communication platforms.</w:t>
      </w:r>
    </w:p>
    <w:p w14:paraId="786A7B8B" w14:textId="6DBA6A75" w:rsidR="002317DC" w:rsidRPr="005A2E37" w:rsidRDefault="00000000" w:rsidP="00C82EB7">
      <w:pPr>
        <w:numPr>
          <w:ilvl w:val="1"/>
          <w:numId w:val="7"/>
        </w:numPr>
        <w:spacing w:before="105" w:after="105" w:line="360" w:lineRule="auto"/>
        <w:rPr>
          <w:rFonts w:ascii="12" w:hAnsi="12"/>
          <w:sz w:val="24"/>
          <w:szCs w:val="24"/>
        </w:rPr>
      </w:pPr>
      <w:r w:rsidRPr="005A2E37">
        <w:rPr>
          <w:rFonts w:ascii="12" w:eastAsia="inter" w:hAnsi="12" w:cs="inter"/>
          <w:color w:val="000000"/>
          <w:sz w:val="24"/>
          <w:szCs w:val="24"/>
        </w:rPr>
        <w:t>Support</w:t>
      </w:r>
      <w:r w:rsidR="00C82EB7">
        <w:rPr>
          <w:rFonts w:ascii="12" w:eastAsia="inter" w:hAnsi="12" w:cs="inter"/>
          <w:color w:val="000000"/>
          <w:sz w:val="24"/>
          <w:szCs w:val="24"/>
        </w:rPr>
        <w:t>ing</w:t>
      </w:r>
      <w:r w:rsidRPr="005A2E37">
        <w:rPr>
          <w:rFonts w:ascii="12" w:eastAsia="inter" w:hAnsi="12" w:cs="inter"/>
          <w:color w:val="000000"/>
          <w:sz w:val="24"/>
          <w:szCs w:val="24"/>
        </w:rPr>
        <w:t xml:space="preserve"> digitization and automation of internal </w:t>
      </w:r>
      <w:r w:rsidR="00C82EB7">
        <w:rPr>
          <w:rFonts w:ascii="12" w:eastAsia="inter" w:hAnsi="12" w:cs="inter"/>
          <w:color w:val="000000"/>
          <w:sz w:val="24"/>
          <w:szCs w:val="24"/>
        </w:rPr>
        <w:t>operation</w:t>
      </w:r>
      <w:r w:rsidRPr="005A2E37">
        <w:rPr>
          <w:rFonts w:ascii="12" w:eastAsia="inter" w:hAnsi="12" w:cs="inter"/>
          <w:color w:val="000000"/>
          <w:sz w:val="24"/>
          <w:szCs w:val="24"/>
        </w:rPr>
        <w:t xml:space="preserve"> processes, financial systems, procurement, and document management.</w:t>
      </w:r>
    </w:p>
    <w:p w14:paraId="28127983" w14:textId="30EBB29F" w:rsidR="002317DC" w:rsidRPr="005A2E37" w:rsidRDefault="00000000" w:rsidP="00C82EB7">
      <w:pPr>
        <w:numPr>
          <w:ilvl w:val="1"/>
          <w:numId w:val="7"/>
        </w:numPr>
        <w:spacing w:before="105" w:after="105" w:line="360" w:lineRule="auto"/>
        <w:rPr>
          <w:rFonts w:ascii="12" w:hAnsi="12"/>
          <w:sz w:val="24"/>
          <w:szCs w:val="24"/>
        </w:rPr>
      </w:pPr>
      <w:r w:rsidRPr="005A2E37">
        <w:rPr>
          <w:rFonts w:ascii="12" w:eastAsia="inter" w:hAnsi="12" w:cs="inter"/>
          <w:color w:val="000000"/>
          <w:sz w:val="24"/>
          <w:szCs w:val="24"/>
        </w:rPr>
        <w:t>Ensur</w:t>
      </w:r>
      <w:r w:rsidR="00C82EB7">
        <w:rPr>
          <w:rFonts w:ascii="12" w:eastAsia="inter" w:hAnsi="12" w:cs="inter"/>
          <w:color w:val="000000"/>
          <w:sz w:val="24"/>
          <w:szCs w:val="24"/>
        </w:rPr>
        <w:t xml:space="preserve">ing </w:t>
      </w:r>
      <w:r w:rsidRPr="005A2E37">
        <w:rPr>
          <w:rFonts w:ascii="12" w:eastAsia="inter" w:hAnsi="12" w:cs="inter"/>
          <w:color w:val="000000"/>
          <w:sz w:val="24"/>
          <w:szCs w:val="24"/>
        </w:rPr>
        <w:t>compliance with data privacy regulations and security protocols.</w:t>
      </w:r>
    </w:p>
    <w:p w14:paraId="67CC4D5C" w14:textId="51ACBA24" w:rsidR="002317DC" w:rsidRPr="005A2E37" w:rsidRDefault="00000000" w:rsidP="00C82EB7">
      <w:pPr>
        <w:numPr>
          <w:ilvl w:val="1"/>
          <w:numId w:val="7"/>
        </w:numPr>
        <w:spacing w:before="105" w:after="105" w:line="360" w:lineRule="auto"/>
        <w:rPr>
          <w:rFonts w:ascii="12" w:hAnsi="12"/>
          <w:sz w:val="24"/>
          <w:szCs w:val="24"/>
        </w:rPr>
      </w:pPr>
      <w:r w:rsidRPr="005A2E37">
        <w:rPr>
          <w:rFonts w:ascii="12" w:eastAsia="inter" w:hAnsi="12" w:cs="inter"/>
          <w:color w:val="000000"/>
          <w:sz w:val="24"/>
          <w:szCs w:val="24"/>
        </w:rPr>
        <w:t>Provid</w:t>
      </w:r>
      <w:r w:rsidR="00C82EB7">
        <w:rPr>
          <w:rFonts w:ascii="12" w:eastAsia="inter" w:hAnsi="12" w:cs="inter"/>
          <w:color w:val="000000"/>
          <w:sz w:val="24"/>
          <w:szCs w:val="24"/>
        </w:rPr>
        <w:t xml:space="preserve">ing </w:t>
      </w:r>
      <w:r w:rsidRPr="005A2E37">
        <w:rPr>
          <w:rFonts w:ascii="12" w:eastAsia="inter" w:hAnsi="12" w:cs="inter"/>
          <w:color w:val="000000"/>
          <w:sz w:val="24"/>
          <w:szCs w:val="24"/>
        </w:rPr>
        <w:t>platforms for virtual collaboration and enhances technology-enabled research operations.</w:t>
      </w:r>
    </w:p>
    <w:p w14:paraId="23C0BA29" w14:textId="6361C274" w:rsidR="002317DC" w:rsidRPr="00C82EB7" w:rsidRDefault="00000000">
      <w:pPr>
        <w:numPr>
          <w:ilvl w:val="0"/>
          <w:numId w:val="1"/>
        </w:numPr>
        <w:spacing w:after="210" w:line="360" w:lineRule="auto"/>
        <w:rPr>
          <w:rFonts w:ascii="12" w:hAnsi="12"/>
          <w:sz w:val="24"/>
          <w:szCs w:val="24"/>
        </w:rPr>
      </w:pPr>
      <w:r w:rsidRPr="005A2E37">
        <w:rPr>
          <w:rFonts w:ascii="12" w:eastAsia="inter" w:hAnsi="12" w:cs="inter"/>
          <w:b/>
          <w:color w:val="000000"/>
          <w:sz w:val="24"/>
          <w:szCs w:val="24"/>
        </w:rPr>
        <w:t xml:space="preserve">Data </w:t>
      </w:r>
      <w:r w:rsidR="00553AF2">
        <w:rPr>
          <w:rFonts w:ascii="12" w:eastAsia="inter" w:hAnsi="12" w:cs="inter"/>
          <w:b/>
          <w:color w:val="000000"/>
          <w:sz w:val="24"/>
          <w:szCs w:val="24"/>
        </w:rPr>
        <w:t>s</w:t>
      </w:r>
      <w:r w:rsidRPr="005A2E37">
        <w:rPr>
          <w:rFonts w:ascii="12" w:eastAsia="inter" w:hAnsi="12" w:cs="inter"/>
          <w:b/>
          <w:color w:val="000000"/>
          <w:sz w:val="24"/>
          <w:szCs w:val="24"/>
        </w:rPr>
        <w:t xml:space="preserve">cience and </w:t>
      </w:r>
      <w:r w:rsidR="00553AF2">
        <w:rPr>
          <w:rFonts w:ascii="12" w:eastAsia="inter" w:hAnsi="12" w:cs="inter"/>
          <w:b/>
          <w:color w:val="000000"/>
          <w:sz w:val="24"/>
          <w:szCs w:val="24"/>
        </w:rPr>
        <w:t>a</w:t>
      </w:r>
      <w:r w:rsidRPr="005A2E37">
        <w:rPr>
          <w:rFonts w:ascii="12" w:eastAsia="inter" w:hAnsi="12" w:cs="inter"/>
          <w:b/>
          <w:color w:val="000000"/>
          <w:sz w:val="24"/>
          <w:szCs w:val="24"/>
        </w:rPr>
        <w:t xml:space="preserve">nalytics </w:t>
      </w:r>
      <w:r w:rsidR="006C0365">
        <w:rPr>
          <w:rFonts w:ascii="12" w:eastAsia="inter" w:hAnsi="12" w:cs="inter"/>
          <w:b/>
          <w:color w:val="000000"/>
          <w:sz w:val="24"/>
          <w:szCs w:val="24"/>
        </w:rPr>
        <w:t>section</w:t>
      </w:r>
    </w:p>
    <w:p w14:paraId="4C206DE3" w14:textId="662082BE" w:rsidR="00C82EB7" w:rsidRPr="00C82EB7" w:rsidRDefault="00C82EB7" w:rsidP="00C82EB7">
      <w:pPr>
        <w:pStyle w:val="ListParagraph"/>
        <w:spacing w:after="210" w:line="360" w:lineRule="auto"/>
        <w:ind w:left="540"/>
        <w:rPr>
          <w:rFonts w:ascii="12" w:hAnsi="12"/>
          <w:bCs/>
          <w:sz w:val="24"/>
          <w:szCs w:val="24"/>
        </w:rPr>
      </w:pPr>
      <w:r w:rsidRPr="00C82EB7">
        <w:rPr>
          <w:rFonts w:ascii="12" w:eastAsia="inter" w:hAnsi="12" w:cs="inter"/>
          <w:bCs/>
          <w:color w:val="000000"/>
          <w:sz w:val="24"/>
          <w:szCs w:val="24"/>
        </w:rPr>
        <w:t xml:space="preserve">Focuses or should focus on: </w:t>
      </w:r>
    </w:p>
    <w:p w14:paraId="33B27469" w14:textId="5E4188A1" w:rsidR="002317DC" w:rsidRPr="005A2E37" w:rsidRDefault="00C82EB7" w:rsidP="00C82EB7">
      <w:pPr>
        <w:numPr>
          <w:ilvl w:val="1"/>
          <w:numId w:val="8"/>
        </w:numPr>
        <w:spacing w:before="105" w:after="105" w:line="360" w:lineRule="auto"/>
        <w:rPr>
          <w:rFonts w:ascii="12" w:hAnsi="12"/>
          <w:sz w:val="24"/>
          <w:szCs w:val="24"/>
        </w:rPr>
      </w:pPr>
      <w:r>
        <w:rPr>
          <w:rFonts w:ascii="12" w:eastAsia="inter" w:hAnsi="12" w:cs="inter"/>
          <w:color w:val="000000"/>
          <w:sz w:val="24"/>
          <w:szCs w:val="24"/>
        </w:rPr>
        <w:t>D</w:t>
      </w:r>
      <w:r w:rsidRPr="005A2E37">
        <w:rPr>
          <w:rFonts w:ascii="12" w:eastAsia="inter" w:hAnsi="12" w:cs="inter"/>
          <w:color w:val="000000"/>
          <w:sz w:val="24"/>
          <w:szCs w:val="24"/>
        </w:rPr>
        <w:t>eveloping data management, data governance, analytics, and data protection strategies.</w:t>
      </w:r>
    </w:p>
    <w:p w14:paraId="6028BEDA" w14:textId="1A34D9D7" w:rsidR="002317DC" w:rsidRPr="005A2E37" w:rsidRDefault="00000000" w:rsidP="00C82EB7">
      <w:pPr>
        <w:numPr>
          <w:ilvl w:val="1"/>
          <w:numId w:val="8"/>
        </w:numPr>
        <w:spacing w:before="105" w:after="105" w:line="360" w:lineRule="auto"/>
        <w:rPr>
          <w:rFonts w:ascii="12" w:hAnsi="12"/>
          <w:sz w:val="24"/>
          <w:szCs w:val="24"/>
        </w:rPr>
      </w:pPr>
      <w:r w:rsidRPr="005A2E37">
        <w:rPr>
          <w:rFonts w:ascii="12" w:eastAsia="inter" w:hAnsi="12" w:cs="inter"/>
          <w:color w:val="000000"/>
          <w:sz w:val="24"/>
          <w:szCs w:val="24"/>
        </w:rPr>
        <w:t>Develop</w:t>
      </w:r>
      <w:r w:rsidR="00C82EB7">
        <w:rPr>
          <w:rFonts w:ascii="12" w:eastAsia="inter" w:hAnsi="12" w:cs="inter"/>
          <w:color w:val="000000"/>
          <w:sz w:val="24"/>
          <w:szCs w:val="24"/>
        </w:rPr>
        <w:t>ing</w:t>
      </w:r>
      <w:r w:rsidRPr="005A2E37">
        <w:rPr>
          <w:rFonts w:ascii="12" w:eastAsia="inter" w:hAnsi="12" w:cs="inter"/>
          <w:color w:val="000000"/>
          <w:sz w:val="24"/>
          <w:szCs w:val="24"/>
        </w:rPr>
        <w:t xml:space="preserve"> and deploy</w:t>
      </w:r>
      <w:r w:rsidR="00C82EB7">
        <w:rPr>
          <w:rFonts w:ascii="12" w:eastAsia="inter" w:hAnsi="12" w:cs="inter"/>
          <w:color w:val="000000"/>
          <w:sz w:val="24"/>
          <w:szCs w:val="24"/>
        </w:rPr>
        <w:t>ing</w:t>
      </w:r>
      <w:r w:rsidRPr="005A2E37">
        <w:rPr>
          <w:rFonts w:ascii="12" w:eastAsia="inter" w:hAnsi="12" w:cs="inter"/>
          <w:color w:val="000000"/>
          <w:sz w:val="24"/>
          <w:szCs w:val="24"/>
        </w:rPr>
        <w:t xml:space="preserve"> advanced data analytical tools, statistical models, machine learning, and visualization platforms to extract insights from research data.</w:t>
      </w:r>
    </w:p>
    <w:p w14:paraId="162EA1D1" w14:textId="239E91C2" w:rsidR="002317DC" w:rsidRPr="005A2E37" w:rsidRDefault="00000000" w:rsidP="00C82EB7">
      <w:pPr>
        <w:numPr>
          <w:ilvl w:val="1"/>
          <w:numId w:val="8"/>
        </w:numPr>
        <w:spacing w:before="105" w:after="105" w:line="360" w:lineRule="auto"/>
        <w:rPr>
          <w:rFonts w:ascii="12" w:hAnsi="12"/>
          <w:sz w:val="24"/>
          <w:szCs w:val="24"/>
        </w:rPr>
      </w:pPr>
      <w:r w:rsidRPr="005A2E37">
        <w:rPr>
          <w:rFonts w:ascii="12" w:eastAsia="inter" w:hAnsi="12" w:cs="inter"/>
          <w:color w:val="000000"/>
          <w:sz w:val="24"/>
          <w:szCs w:val="24"/>
        </w:rPr>
        <w:lastRenderedPageBreak/>
        <w:t>Support</w:t>
      </w:r>
      <w:r w:rsidR="00C82EB7">
        <w:rPr>
          <w:rFonts w:ascii="12" w:eastAsia="inter" w:hAnsi="12" w:cs="inter"/>
          <w:color w:val="000000"/>
          <w:sz w:val="24"/>
          <w:szCs w:val="24"/>
        </w:rPr>
        <w:t>ing</w:t>
      </w:r>
      <w:r w:rsidRPr="005A2E37">
        <w:rPr>
          <w:rFonts w:ascii="12" w:eastAsia="inter" w:hAnsi="12" w:cs="inter"/>
          <w:color w:val="000000"/>
          <w:sz w:val="24"/>
          <w:szCs w:val="24"/>
        </w:rPr>
        <w:t xml:space="preserve"> epidemiological modeling, disease surveillance, mapping risky zones, and One Health data integration.</w:t>
      </w:r>
    </w:p>
    <w:p w14:paraId="160282A1" w14:textId="10B5569D" w:rsidR="002317DC" w:rsidRPr="005A2E37" w:rsidRDefault="00000000" w:rsidP="00C82EB7">
      <w:pPr>
        <w:numPr>
          <w:ilvl w:val="1"/>
          <w:numId w:val="8"/>
        </w:numPr>
        <w:spacing w:before="105" w:after="105" w:line="360" w:lineRule="auto"/>
        <w:rPr>
          <w:rFonts w:ascii="12" w:hAnsi="12"/>
          <w:sz w:val="24"/>
          <w:szCs w:val="24"/>
        </w:rPr>
      </w:pPr>
      <w:r w:rsidRPr="005A2E37">
        <w:rPr>
          <w:rFonts w:ascii="12" w:eastAsia="inter" w:hAnsi="12" w:cs="inter"/>
          <w:color w:val="000000"/>
          <w:sz w:val="24"/>
          <w:szCs w:val="24"/>
        </w:rPr>
        <w:t>Build</w:t>
      </w:r>
      <w:r w:rsidR="00C82EB7">
        <w:rPr>
          <w:rFonts w:ascii="12" w:eastAsia="inter" w:hAnsi="12" w:cs="inter"/>
          <w:color w:val="000000"/>
          <w:sz w:val="24"/>
          <w:szCs w:val="24"/>
        </w:rPr>
        <w:t>ing</w:t>
      </w:r>
      <w:r w:rsidRPr="005A2E37">
        <w:rPr>
          <w:rFonts w:ascii="12" w:eastAsia="inter" w:hAnsi="12" w:cs="inter"/>
          <w:color w:val="000000"/>
          <w:sz w:val="24"/>
          <w:szCs w:val="24"/>
        </w:rPr>
        <w:t xml:space="preserve"> capacity for data-driven decision making, risk assessment, and research outcome monitoring.</w:t>
      </w:r>
    </w:p>
    <w:p w14:paraId="795A1AB3" w14:textId="5384CDCA" w:rsidR="002317DC" w:rsidRPr="005A2E37" w:rsidRDefault="00000000" w:rsidP="00C82EB7">
      <w:pPr>
        <w:numPr>
          <w:ilvl w:val="1"/>
          <w:numId w:val="8"/>
        </w:numPr>
        <w:spacing w:before="105" w:after="105" w:line="360" w:lineRule="auto"/>
        <w:rPr>
          <w:rFonts w:ascii="12" w:hAnsi="12"/>
          <w:sz w:val="24"/>
          <w:szCs w:val="24"/>
        </w:rPr>
      </w:pPr>
      <w:r w:rsidRPr="005A2E37">
        <w:rPr>
          <w:rFonts w:ascii="12" w:eastAsia="inter" w:hAnsi="12" w:cs="inter"/>
          <w:color w:val="000000"/>
          <w:sz w:val="24"/>
          <w:szCs w:val="24"/>
        </w:rPr>
        <w:t>Implement</w:t>
      </w:r>
      <w:r w:rsidR="00C82EB7">
        <w:rPr>
          <w:rFonts w:ascii="12" w:eastAsia="inter" w:hAnsi="12" w:cs="inter"/>
          <w:color w:val="000000"/>
          <w:sz w:val="24"/>
          <w:szCs w:val="24"/>
        </w:rPr>
        <w:t>ing</w:t>
      </w:r>
      <w:r w:rsidRPr="005A2E37">
        <w:rPr>
          <w:rFonts w:ascii="12" w:eastAsia="inter" w:hAnsi="12" w:cs="inter"/>
          <w:color w:val="000000"/>
          <w:sz w:val="24"/>
          <w:szCs w:val="24"/>
        </w:rPr>
        <w:t xml:space="preserve"> data quality assurance, database management, meta-analysis, and knowledge dissemination via interactive reporting tools.</w:t>
      </w:r>
    </w:p>
    <w:p w14:paraId="390EF9D3" w14:textId="4829B27B" w:rsidR="006C0365" w:rsidRDefault="00000000" w:rsidP="006C0365">
      <w:pPr>
        <w:numPr>
          <w:ilvl w:val="1"/>
          <w:numId w:val="8"/>
        </w:numPr>
        <w:spacing w:before="105" w:after="105" w:line="360" w:lineRule="auto"/>
        <w:rPr>
          <w:rFonts w:ascii="12" w:hAnsi="12"/>
          <w:sz w:val="24"/>
          <w:szCs w:val="24"/>
        </w:rPr>
      </w:pPr>
      <w:r w:rsidRPr="005A2E37">
        <w:rPr>
          <w:rFonts w:ascii="12" w:eastAsia="inter" w:hAnsi="12" w:cs="inter"/>
          <w:color w:val="000000"/>
          <w:sz w:val="24"/>
          <w:szCs w:val="24"/>
        </w:rPr>
        <w:t>Develop</w:t>
      </w:r>
      <w:r w:rsidR="006A761F">
        <w:rPr>
          <w:rFonts w:ascii="12" w:eastAsia="inter" w:hAnsi="12" w:cs="inter"/>
          <w:color w:val="000000"/>
          <w:sz w:val="24"/>
          <w:szCs w:val="24"/>
        </w:rPr>
        <w:t>ing</w:t>
      </w:r>
      <w:r w:rsidRPr="005A2E37">
        <w:rPr>
          <w:rFonts w:ascii="12" w:eastAsia="inter" w:hAnsi="12" w:cs="inter"/>
          <w:color w:val="000000"/>
          <w:sz w:val="24"/>
          <w:szCs w:val="24"/>
        </w:rPr>
        <w:t xml:space="preserve"> performance tracking systems, facilitat</w:t>
      </w:r>
      <w:r w:rsidR="006A761F">
        <w:rPr>
          <w:rFonts w:ascii="12" w:eastAsia="inter" w:hAnsi="12" w:cs="inter"/>
          <w:color w:val="000000"/>
          <w:sz w:val="24"/>
          <w:szCs w:val="24"/>
        </w:rPr>
        <w:t>ing</w:t>
      </w:r>
      <w:r w:rsidRPr="005A2E37">
        <w:rPr>
          <w:rFonts w:ascii="12" w:eastAsia="inter" w:hAnsi="12" w:cs="inter"/>
          <w:color w:val="000000"/>
          <w:sz w:val="24"/>
          <w:szCs w:val="24"/>
        </w:rPr>
        <w:t xml:space="preserve"> data-driven resource allocation, and strengthens the analytic support for conservation, biodiversity, and climate response research.</w:t>
      </w:r>
    </w:p>
    <w:p w14:paraId="5B6B784C" w14:textId="77777777" w:rsidR="006C0365" w:rsidRDefault="006C0365" w:rsidP="006C0365">
      <w:pPr>
        <w:spacing w:before="105" w:after="105" w:line="360" w:lineRule="auto"/>
        <w:ind w:left="1080"/>
        <w:rPr>
          <w:rFonts w:ascii="12" w:hAnsi="12"/>
          <w:sz w:val="24"/>
          <w:szCs w:val="24"/>
        </w:rPr>
      </w:pPr>
    </w:p>
    <w:p w14:paraId="32FF04F0" w14:textId="77777777" w:rsidR="006C0365" w:rsidRPr="006C0365" w:rsidRDefault="006C0365" w:rsidP="006C0365">
      <w:pPr>
        <w:spacing w:before="105" w:after="105" w:line="360" w:lineRule="auto"/>
        <w:ind w:left="1080"/>
        <w:rPr>
          <w:rFonts w:ascii="12" w:hAnsi="12"/>
          <w:sz w:val="24"/>
          <w:szCs w:val="24"/>
        </w:rPr>
      </w:pPr>
    </w:p>
    <w:p w14:paraId="00E6BF7D" w14:textId="5D45965D" w:rsidR="00553AF2" w:rsidRPr="006C0365" w:rsidRDefault="00553AF2" w:rsidP="006C0365">
      <w:pPr>
        <w:spacing w:before="105" w:after="105" w:line="360" w:lineRule="auto"/>
        <w:rPr>
          <w:rFonts w:ascii="12" w:hAnsi="12"/>
          <w:b/>
          <w:bCs/>
          <w:sz w:val="24"/>
          <w:szCs w:val="24"/>
        </w:rPr>
      </w:pPr>
      <w:r w:rsidRPr="006C0365">
        <w:rPr>
          <w:rFonts w:ascii="12" w:hAnsi="12"/>
          <w:b/>
          <w:bCs/>
          <w:sz w:val="24"/>
          <w:szCs w:val="24"/>
        </w:rPr>
        <w:t xml:space="preserve">DS&amp;AS should address the following Gaps. </w:t>
      </w:r>
    </w:p>
    <w:p w14:paraId="2F4B1817" w14:textId="7C6D2B06" w:rsidR="00553AF2" w:rsidRPr="00553AF2" w:rsidRDefault="00553AF2" w:rsidP="006C0365">
      <w:pPr>
        <w:spacing w:before="105" w:after="105" w:line="360" w:lineRule="auto"/>
        <w:ind w:left="540"/>
        <w:rPr>
          <w:rFonts w:ascii="12" w:hAnsi="12"/>
          <w:sz w:val="24"/>
          <w:szCs w:val="24"/>
        </w:rPr>
      </w:pPr>
      <w:r>
        <w:rPr>
          <w:rFonts w:ascii="12" w:hAnsi="12"/>
          <w:sz w:val="24"/>
          <w:szCs w:val="24"/>
        </w:rPr>
        <w:t xml:space="preserve">The gaps have been identified from the KIPRE legal notice, the Strategic </w:t>
      </w:r>
      <w:r w:rsidR="006C0365">
        <w:rPr>
          <w:rFonts w:ascii="12" w:hAnsi="12"/>
          <w:sz w:val="24"/>
          <w:szCs w:val="24"/>
        </w:rPr>
        <w:t>Plan, opinions from key stakeholders and researcher as well as the global best data handling and processing practices as stipulated by the Royal Statistical Society (RSS) and the American Statistical Society (ASA).</w:t>
      </w:r>
    </w:p>
    <w:p w14:paraId="571ABBE5" w14:textId="0D8CD472" w:rsidR="002317DC" w:rsidRPr="005A2E37" w:rsidRDefault="00000000">
      <w:pPr>
        <w:numPr>
          <w:ilvl w:val="0"/>
          <w:numId w:val="2"/>
        </w:numPr>
        <w:spacing w:after="210" w:line="360" w:lineRule="auto"/>
        <w:rPr>
          <w:rFonts w:ascii="12" w:hAnsi="12"/>
          <w:sz w:val="24"/>
          <w:szCs w:val="24"/>
        </w:rPr>
      </w:pPr>
      <w:r w:rsidRPr="005A2E37">
        <w:rPr>
          <w:rFonts w:ascii="12" w:eastAsia="inter" w:hAnsi="12" w:cs="inter"/>
          <w:b/>
          <w:color w:val="000000"/>
          <w:sz w:val="24"/>
          <w:szCs w:val="24"/>
        </w:rPr>
        <w:t xml:space="preserve">Data </w:t>
      </w:r>
      <w:r w:rsidR="00235AAA">
        <w:rPr>
          <w:rFonts w:ascii="12" w:eastAsia="inter" w:hAnsi="12" w:cs="inter"/>
          <w:b/>
          <w:color w:val="000000"/>
          <w:sz w:val="24"/>
          <w:szCs w:val="24"/>
        </w:rPr>
        <w:t>g</w:t>
      </w:r>
      <w:r w:rsidRPr="005A2E37">
        <w:rPr>
          <w:rFonts w:ascii="12" w:eastAsia="inter" w:hAnsi="12" w:cs="inter"/>
          <w:b/>
          <w:color w:val="000000"/>
          <w:sz w:val="24"/>
          <w:szCs w:val="24"/>
        </w:rPr>
        <w:t xml:space="preserve">overnance and </w:t>
      </w:r>
      <w:r w:rsidR="00235AAA">
        <w:rPr>
          <w:rFonts w:ascii="12" w:eastAsia="inter" w:hAnsi="12" w:cs="inter"/>
          <w:b/>
          <w:color w:val="000000"/>
          <w:sz w:val="24"/>
          <w:szCs w:val="24"/>
        </w:rPr>
        <w:t>m</w:t>
      </w:r>
      <w:r w:rsidRPr="005A2E37">
        <w:rPr>
          <w:rFonts w:ascii="12" w:eastAsia="inter" w:hAnsi="12" w:cs="inter"/>
          <w:b/>
          <w:color w:val="000000"/>
          <w:sz w:val="24"/>
          <w:szCs w:val="24"/>
        </w:rPr>
        <w:t>anagement</w:t>
      </w:r>
    </w:p>
    <w:p w14:paraId="37A71B15" w14:textId="77777777" w:rsidR="002317DC" w:rsidRPr="005A2E37" w:rsidRDefault="00000000" w:rsidP="00235AAA">
      <w:pPr>
        <w:numPr>
          <w:ilvl w:val="1"/>
          <w:numId w:val="9"/>
        </w:numPr>
        <w:spacing w:before="105" w:after="105" w:line="360" w:lineRule="auto"/>
        <w:rPr>
          <w:rFonts w:ascii="12" w:hAnsi="12"/>
          <w:sz w:val="24"/>
          <w:szCs w:val="24"/>
        </w:rPr>
      </w:pPr>
      <w:r w:rsidRPr="005A2E37">
        <w:rPr>
          <w:rFonts w:ascii="12" w:eastAsia="inter" w:hAnsi="12" w:cs="inter"/>
          <w:color w:val="000000"/>
          <w:sz w:val="24"/>
          <w:szCs w:val="24"/>
        </w:rPr>
        <w:t>Lack of comprehensive data governance framework and policies.</w:t>
      </w:r>
    </w:p>
    <w:p w14:paraId="20C6B4C5" w14:textId="77777777" w:rsidR="002317DC" w:rsidRPr="005A2E37" w:rsidRDefault="00000000" w:rsidP="00235AAA">
      <w:pPr>
        <w:numPr>
          <w:ilvl w:val="1"/>
          <w:numId w:val="9"/>
        </w:numPr>
        <w:spacing w:before="105" w:after="105" w:line="360" w:lineRule="auto"/>
        <w:rPr>
          <w:rFonts w:ascii="12" w:hAnsi="12"/>
          <w:sz w:val="24"/>
          <w:szCs w:val="24"/>
        </w:rPr>
      </w:pPr>
      <w:r w:rsidRPr="005A2E37">
        <w:rPr>
          <w:rFonts w:ascii="12" w:eastAsia="inter" w:hAnsi="12" w:cs="inter"/>
          <w:color w:val="000000"/>
          <w:sz w:val="24"/>
          <w:szCs w:val="24"/>
        </w:rPr>
        <w:t>Need to develop standardized data management procedures, metadata standards, and data sharing protocols to promote data quality and interoperability.</w:t>
      </w:r>
    </w:p>
    <w:p w14:paraId="0211AFA1" w14:textId="77777777" w:rsidR="002317DC" w:rsidRPr="005A2E37" w:rsidRDefault="00000000">
      <w:pPr>
        <w:numPr>
          <w:ilvl w:val="0"/>
          <w:numId w:val="2"/>
        </w:numPr>
        <w:spacing w:after="210" w:line="360" w:lineRule="auto"/>
        <w:rPr>
          <w:rFonts w:ascii="12" w:hAnsi="12"/>
          <w:sz w:val="24"/>
          <w:szCs w:val="24"/>
        </w:rPr>
      </w:pPr>
      <w:r w:rsidRPr="005A2E37">
        <w:rPr>
          <w:rFonts w:ascii="12" w:eastAsia="inter" w:hAnsi="12" w:cs="inter"/>
          <w:b/>
          <w:color w:val="000000"/>
          <w:sz w:val="24"/>
          <w:szCs w:val="24"/>
        </w:rPr>
        <w:t>Advanced Analytics Capacity</w:t>
      </w:r>
    </w:p>
    <w:p w14:paraId="7B8B6098" w14:textId="77777777" w:rsidR="002317DC" w:rsidRPr="005A2E37" w:rsidRDefault="00000000" w:rsidP="006C0365">
      <w:pPr>
        <w:numPr>
          <w:ilvl w:val="1"/>
          <w:numId w:val="10"/>
        </w:numPr>
        <w:spacing w:before="105" w:after="105" w:line="360" w:lineRule="auto"/>
        <w:rPr>
          <w:rFonts w:ascii="12" w:hAnsi="12"/>
          <w:sz w:val="24"/>
          <w:szCs w:val="24"/>
        </w:rPr>
      </w:pPr>
      <w:r w:rsidRPr="005A2E37">
        <w:rPr>
          <w:rFonts w:ascii="12" w:eastAsia="inter" w:hAnsi="12" w:cs="inter"/>
          <w:color w:val="000000"/>
          <w:sz w:val="24"/>
          <w:szCs w:val="24"/>
        </w:rPr>
        <w:t>Need for strengthening analytics skills to conduct complex epidemiological modeling, predictive analytics, and integration of heterogeneous data (molecular, ecological, clinical).</w:t>
      </w:r>
    </w:p>
    <w:p w14:paraId="2D058E66" w14:textId="77777777" w:rsidR="002317DC" w:rsidRPr="005A2E37" w:rsidRDefault="00000000" w:rsidP="006C0365">
      <w:pPr>
        <w:numPr>
          <w:ilvl w:val="1"/>
          <w:numId w:val="10"/>
        </w:numPr>
        <w:spacing w:before="105" w:after="105" w:line="360" w:lineRule="auto"/>
        <w:rPr>
          <w:rFonts w:ascii="12" w:hAnsi="12"/>
          <w:sz w:val="24"/>
          <w:szCs w:val="24"/>
        </w:rPr>
      </w:pPr>
      <w:r w:rsidRPr="005A2E37">
        <w:rPr>
          <w:rFonts w:ascii="12" w:eastAsia="inter" w:hAnsi="12" w:cs="inter"/>
          <w:color w:val="000000"/>
          <w:sz w:val="24"/>
          <w:szCs w:val="24"/>
        </w:rPr>
        <w:t>Enhanced capacity for environmental antimicrobial resistance monitoring and phage research analytics.</w:t>
      </w:r>
    </w:p>
    <w:p w14:paraId="4934AE1B" w14:textId="77777777" w:rsidR="002317DC" w:rsidRPr="005A2E37" w:rsidRDefault="00000000">
      <w:pPr>
        <w:numPr>
          <w:ilvl w:val="0"/>
          <w:numId w:val="2"/>
        </w:numPr>
        <w:spacing w:after="210" w:line="360" w:lineRule="auto"/>
        <w:rPr>
          <w:rFonts w:ascii="12" w:hAnsi="12"/>
          <w:sz w:val="24"/>
          <w:szCs w:val="24"/>
        </w:rPr>
      </w:pPr>
      <w:r w:rsidRPr="005A2E37">
        <w:rPr>
          <w:rFonts w:ascii="12" w:eastAsia="inter" w:hAnsi="12" w:cs="inter"/>
          <w:b/>
          <w:color w:val="000000"/>
          <w:sz w:val="24"/>
          <w:szCs w:val="24"/>
        </w:rPr>
        <w:t>Surveillance and Real-Time Data Integration</w:t>
      </w:r>
    </w:p>
    <w:p w14:paraId="05080D7D" w14:textId="77777777" w:rsidR="002317DC" w:rsidRPr="005A2E37" w:rsidRDefault="00000000" w:rsidP="006C0365">
      <w:pPr>
        <w:numPr>
          <w:ilvl w:val="1"/>
          <w:numId w:val="11"/>
        </w:numPr>
        <w:spacing w:before="105" w:after="105" w:line="360" w:lineRule="auto"/>
        <w:rPr>
          <w:rFonts w:ascii="12" w:hAnsi="12"/>
          <w:sz w:val="24"/>
          <w:szCs w:val="24"/>
        </w:rPr>
      </w:pPr>
      <w:r w:rsidRPr="005A2E37">
        <w:rPr>
          <w:rFonts w:ascii="12" w:eastAsia="inter" w:hAnsi="12" w:cs="inter"/>
          <w:color w:val="000000"/>
          <w:sz w:val="24"/>
          <w:szCs w:val="24"/>
        </w:rPr>
        <w:lastRenderedPageBreak/>
        <w:t>Gaps in disease and ecosystem surveillance data analytics, including the use of spatial mapping and risk modeling.</w:t>
      </w:r>
    </w:p>
    <w:p w14:paraId="20FA396C" w14:textId="77777777" w:rsidR="002317DC" w:rsidRPr="005A2E37" w:rsidRDefault="00000000" w:rsidP="006C0365">
      <w:pPr>
        <w:numPr>
          <w:ilvl w:val="1"/>
          <w:numId w:val="11"/>
        </w:numPr>
        <w:spacing w:before="105" w:after="105" w:line="360" w:lineRule="auto"/>
        <w:rPr>
          <w:rFonts w:ascii="12" w:hAnsi="12"/>
          <w:sz w:val="24"/>
          <w:szCs w:val="24"/>
        </w:rPr>
      </w:pPr>
      <w:r w:rsidRPr="005A2E37">
        <w:rPr>
          <w:rFonts w:ascii="12" w:eastAsia="inter" w:hAnsi="12" w:cs="inter"/>
          <w:color w:val="000000"/>
          <w:sz w:val="24"/>
          <w:szCs w:val="24"/>
        </w:rPr>
        <w:t>Need for real-time data capture, integration, and visualization tools to support decision-making in One Health and pandemic preparedness.</w:t>
      </w:r>
    </w:p>
    <w:p w14:paraId="3A79A2E0" w14:textId="6D118CFE" w:rsidR="002317DC" w:rsidRPr="005A2E37" w:rsidRDefault="00000000">
      <w:pPr>
        <w:numPr>
          <w:ilvl w:val="0"/>
          <w:numId w:val="2"/>
        </w:numPr>
        <w:spacing w:after="210" w:line="360" w:lineRule="auto"/>
        <w:rPr>
          <w:rFonts w:ascii="12" w:hAnsi="12"/>
          <w:sz w:val="24"/>
          <w:szCs w:val="24"/>
        </w:rPr>
      </w:pPr>
      <w:r w:rsidRPr="005A2E37">
        <w:rPr>
          <w:rFonts w:ascii="12" w:eastAsia="inter" w:hAnsi="12" w:cs="inter"/>
          <w:b/>
          <w:color w:val="000000"/>
          <w:sz w:val="24"/>
          <w:szCs w:val="24"/>
        </w:rPr>
        <w:t xml:space="preserve">Research </w:t>
      </w:r>
      <w:r w:rsidR="006C0365">
        <w:rPr>
          <w:rFonts w:ascii="12" w:eastAsia="inter" w:hAnsi="12" w:cs="inter"/>
          <w:b/>
          <w:color w:val="000000"/>
          <w:sz w:val="24"/>
          <w:szCs w:val="24"/>
        </w:rPr>
        <w:t>i</w:t>
      </w:r>
      <w:r w:rsidRPr="005A2E37">
        <w:rPr>
          <w:rFonts w:ascii="12" w:eastAsia="inter" w:hAnsi="12" w:cs="inter"/>
          <w:b/>
          <w:color w:val="000000"/>
          <w:sz w:val="24"/>
          <w:szCs w:val="24"/>
        </w:rPr>
        <w:t xml:space="preserve">mpact and </w:t>
      </w:r>
      <w:r w:rsidR="006C0365">
        <w:rPr>
          <w:rFonts w:ascii="12" w:eastAsia="inter" w:hAnsi="12" w:cs="inter"/>
          <w:b/>
          <w:color w:val="000000"/>
          <w:sz w:val="24"/>
          <w:szCs w:val="24"/>
        </w:rPr>
        <w:t>m</w:t>
      </w:r>
      <w:r w:rsidRPr="005A2E37">
        <w:rPr>
          <w:rFonts w:ascii="12" w:eastAsia="inter" w:hAnsi="12" w:cs="inter"/>
          <w:b/>
          <w:color w:val="000000"/>
          <w:sz w:val="24"/>
          <w:szCs w:val="24"/>
        </w:rPr>
        <w:t>onitoring</w:t>
      </w:r>
    </w:p>
    <w:p w14:paraId="676A3F84" w14:textId="77777777" w:rsidR="002317DC" w:rsidRPr="005A2E37" w:rsidRDefault="00000000" w:rsidP="006C0365">
      <w:pPr>
        <w:numPr>
          <w:ilvl w:val="1"/>
          <w:numId w:val="12"/>
        </w:numPr>
        <w:spacing w:before="105" w:after="105" w:line="360" w:lineRule="auto"/>
        <w:rPr>
          <w:rFonts w:ascii="12" w:hAnsi="12"/>
          <w:sz w:val="24"/>
          <w:szCs w:val="24"/>
        </w:rPr>
      </w:pPr>
      <w:r w:rsidRPr="005A2E37">
        <w:rPr>
          <w:rFonts w:ascii="12" w:eastAsia="inter" w:hAnsi="12" w:cs="inter"/>
          <w:color w:val="000000"/>
          <w:sz w:val="24"/>
          <w:szCs w:val="24"/>
        </w:rPr>
        <w:t>Inadequate analytic systems for tracking research outputs, funding impact, and performance monitoring.</w:t>
      </w:r>
    </w:p>
    <w:p w14:paraId="7213AA7A" w14:textId="77777777" w:rsidR="002317DC" w:rsidRPr="005A2E37" w:rsidRDefault="00000000" w:rsidP="006C0365">
      <w:pPr>
        <w:numPr>
          <w:ilvl w:val="1"/>
          <w:numId w:val="12"/>
        </w:numPr>
        <w:spacing w:before="105" w:after="105" w:line="360" w:lineRule="auto"/>
        <w:rPr>
          <w:rFonts w:ascii="12" w:hAnsi="12"/>
          <w:sz w:val="24"/>
          <w:szCs w:val="24"/>
        </w:rPr>
      </w:pPr>
      <w:r w:rsidRPr="005A2E37">
        <w:rPr>
          <w:rFonts w:ascii="12" w:eastAsia="inter" w:hAnsi="12" w:cs="inter"/>
          <w:color w:val="000000"/>
          <w:sz w:val="24"/>
          <w:szCs w:val="24"/>
        </w:rPr>
        <w:t>Tools for evaluating interventions, managing research portfolios, and reporting to stakeholders are lacking.</w:t>
      </w:r>
    </w:p>
    <w:p w14:paraId="7780105D" w14:textId="58CA553B" w:rsidR="002317DC" w:rsidRPr="005A2E37" w:rsidRDefault="00000000">
      <w:pPr>
        <w:numPr>
          <w:ilvl w:val="0"/>
          <w:numId w:val="2"/>
        </w:numPr>
        <w:spacing w:after="210" w:line="360" w:lineRule="auto"/>
        <w:rPr>
          <w:rFonts w:ascii="12" w:hAnsi="12"/>
          <w:sz w:val="24"/>
          <w:szCs w:val="24"/>
        </w:rPr>
      </w:pPr>
      <w:r w:rsidRPr="005A2E37">
        <w:rPr>
          <w:rFonts w:ascii="12" w:eastAsia="inter" w:hAnsi="12" w:cs="inter"/>
          <w:b/>
          <w:color w:val="000000"/>
          <w:sz w:val="24"/>
          <w:szCs w:val="24"/>
        </w:rPr>
        <w:t xml:space="preserve">Capacity </w:t>
      </w:r>
      <w:r w:rsidR="006C0365">
        <w:rPr>
          <w:rFonts w:ascii="12" w:eastAsia="inter" w:hAnsi="12" w:cs="inter"/>
          <w:b/>
          <w:color w:val="000000"/>
          <w:sz w:val="24"/>
          <w:szCs w:val="24"/>
        </w:rPr>
        <w:t>b</w:t>
      </w:r>
      <w:r w:rsidRPr="005A2E37">
        <w:rPr>
          <w:rFonts w:ascii="12" w:eastAsia="inter" w:hAnsi="12" w:cs="inter"/>
          <w:b/>
          <w:color w:val="000000"/>
          <w:sz w:val="24"/>
          <w:szCs w:val="24"/>
        </w:rPr>
        <w:t xml:space="preserve">uilding in </w:t>
      </w:r>
      <w:r w:rsidR="006C0365">
        <w:rPr>
          <w:rFonts w:ascii="12" w:eastAsia="inter" w:hAnsi="12" w:cs="inter"/>
          <w:b/>
          <w:color w:val="000000"/>
          <w:sz w:val="24"/>
          <w:szCs w:val="24"/>
        </w:rPr>
        <w:t>d</w:t>
      </w:r>
      <w:r w:rsidRPr="005A2E37">
        <w:rPr>
          <w:rFonts w:ascii="12" w:eastAsia="inter" w:hAnsi="12" w:cs="inter"/>
          <w:b/>
          <w:color w:val="000000"/>
          <w:sz w:val="24"/>
          <w:szCs w:val="24"/>
        </w:rPr>
        <w:t xml:space="preserve">ata </w:t>
      </w:r>
      <w:r w:rsidR="006C0365">
        <w:rPr>
          <w:rFonts w:ascii="12" w:eastAsia="inter" w:hAnsi="12" w:cs="inter"/>
          <w:b/>
          <w:color w:val="000000"/>
          <w:sz w:val="24"/>
          <w:szCs w:val="24"/>
        </w:rPr>
        <w:t>s</w:t>
      </w:r>
      <w:r w:rsidRPr="005A2E37">
        <w:rPr>
          <w:rFonts w:ascii="12" w:eastAsia="inter" w:hAnsi="12" w:cs="inter"/>
          <w:b/>
          <w:color w:val="000000"/>
          <w:sz w:val="24"/>
          <w:szCs w:val="24"/>
        </w:rPr>
        <w:t>cience</w:t>
      </w:r>
    </w:p>
    <w:p w14:paraId="0700BE58" w14:textId="77777777" w:rsidR="002317DC" w:rsidRPr="005A2E37" w:rsidRDefault="00000000" w:rsidP="006C0365">
      <w:pPr>
        <w:numPr>
          <w:ilvl w:val="1"/>
          <w:numId w:val="13"/>
        </w:numPr>
        <w:spacing w:before="105" w:after="105" w:line="360" w:lineRule="auto"/>
        <w:rPr>
          <w:rFonts w:ascii="12" w:hAnsi="12"/>
          <w:sz w:val="24"/>
          <w:szCs w:val="24"/>
        </w:rPr>
      </w:pPr>
      <w:r w:rsidRPr="005A2E37">
        <w:rPr>
          <w:rFonts w:ascii="12" w:eastAsia="inter" w:hAnsi="12" w:cs="inter"/>
          <w:color w:val="000000"/>
          <w:sz w:val="24"/>
          <w:szCs w:val="24"/>
        </w:rPr>
        <w:t>Insufficient dedicated trained personnel and training programs in advanced data science methods.</w:t>
      </w:r>
    </w:p>
    <w:p w14:paraId="4292E181" w14:textId="77777777" w:rsidR="002317DC" w:rsidRPr="005A2E37" w:rsidRDefault="00000000" w:rsidP="006C0365">
      <w:pPr>
        <w:numPr>
          <w:ilvl w:val="1"/>
          <w:numId w:val="13"/>
        </w:numPr>
        <w:spacing w:before="105" w:after="105" w:line="360" w:lineRule="auto"/>
        <w:rPr>
          <w:rFonts w:ascii="12" w:hAnsi="12"/>
          <w:sz w:val="24"/>
          <w:szCs w:val="24"/>
        </w:rPr>
      </w:pPr>
      <w:r w:rsidRPr="005A2E37">
        <w:rPr>
          <w:rFonts w:ascii="12" w:eastAsia="inter" w:hAnsi="12" w:cs="inter"/>
          <w:color w:val="000000"/>
          <w:sz w:val="24"/>
          <w:szCs w:val="24"/>
        </w:rPr>
        <w:t>Need for continuous professional development in bioinformatics, statistical computing, and AI for research data.</w:t>
      </w:r>
    </w:p>
    <w:p w14:paraId="17E1D9CC" w14:textId="53BFBFD1" w:rsidR="002317DC" w:rsidRPr="005A2E37" w:rsidRDefault="00000000">
      <w:pPr>
        <w:numPr>
          <w:ilvl w:val="0"/>
          <w:numId w:val="2"/>
        </w:numPr>
        <w:spacing w:after="210" w:line="360" w:lineRule="auto"/>
        <w:rPr>
          <w:rFonts w:ascii="12" w:hAnsi="12"/>
          <w:sz w:val="24"/>
          <w:szCs w:val="24"/>
        </w:rPr>
      </w:pPr>
      <w:r w:rsidRPr="005A2E37">
        <w:rPr>
          <w:rFonts w:ascii="12" w:eastAsia="inter" w:hAnsi="12" w:cs="inter"/>
          <w:b/>
          <w:color w:val="000000"/>
          <w:sz w:val="24"/>
          <w:szCs w:val="24"/>
        </w:rPr>
        <w:t>Data-</w:t>
      </w:r>
      <w:r w:rsidR="006C0365">
        <w:rPr>
          <w:rFonts w:ascii="12" w:eastAsia="inter" w:hAnsi="12" w:cs="inter"/>
          <w:b/>
          <w:color w:val="000000"/>
          <w:sz w:val="24"/>
          <w:szCs w:val="24"/>
        </w:rPr>
        <w:t>d</w:t>
      </w:r>
      <w:r w:rsidRPr="005A2E37">
        <w:rPr>
          <w:rFonts w:ascii="12" w:eastAsia="inter" w:hAnsi="12" w:cs="inter"/>
          <w:b/>
          <w:color w:val="000000"/>
          <w:sz w:val="24"/>
          <w:szCs w:val="24"/>
        </w:rPr>
        <w:t xml:space="preserve">riven </w:t>
      </w:r>
      <w:r w:rsidR="006C0365">
        <w:rPr>
          <w:rFonts w:ascii="12" w:eastAsia="inter" w:hAnsi="12" w:cs="inter"/>
          <w:b/>
          <w:color w:val="000000"/>
          <w:sz w:val="24"/>
          <w:szCs w:val="24"/>
        </w:rPr>
        <w:t>c</w:t>
      </w:r>
      <w:r w:rsidRPr="005A2E37">
        <w:rPr>
          <w:rFonts w:ascii="12" w:eastAsia="inter" w:hAnsi="12" w:cs="inter"/>
          <w:b/>
          <w:color w:val="000000"/>
          <w:sz w:val="24"/>
          <w:szCs w:val="24"/>
        </w:rPr>
        <w:t xml:space="preserve">onservation and </w:t>
      </w:r>
      <w:r w:rsidR="006C0365">
        <w:rPr>
          <w:rFonts w:ascii="12" w:eastAsia="inter" w:hAnsi="12" w:cs="inter"/>
          <w:b/>
          <w:color w:val="000000"/>
          <w:sz w:val="24"/>
          <w:szCs w:val="24"/>
        </w:rPr>
        <w:t>c</w:t>
      </w:r>
      <w:r w:rsidRPr="005A2E37">
        <w:rPr>
          <w:rFonts w:ascii="12" w:eastAsia="inter" w:hAnsi="12" w:cs="inter"/>
          <w:b/>
          <w:color w:val="000000"/>
          <w:sz w:val="24"/>
          <w:szCs w:val="24"/>
        </w:rPr>
        <w:t xml:space="preserve">limate </w:t>
      </w:r>
      <w:r w:rsidR="006C0365">
        <w:rPr>
          <w:rFonts w:ascii="12" w:eastAsia="inter" w:hAnsi="12" w:cs="inter"/>
          <w:b/>
          <w:color w:val="000000"/>
          <w:sz w:val="24"/>
          <w:szCs w:val="24"/>
        </w:rPr>
        <w:t>r</w:t>
      </w:r>
      <w:r w:rsidRPr="005A2E37">
        <w:rPr>
          <w:rFonts w:ascii="12" w:eastAsia="inter" w:hAnsi="12" w:cs="inter"/>
          <w:b/>
          <w:color w:val="000000"/>
          <w:sz w:val="24"/>
          <w:szCs w:val="24"/>
        </w:rPr>
        <w:t>esearch</w:t>
      </w:r>
    </w:p>
    <w:p w14:paraId="4E6D28F9" w14:textId="77777777" w:rsidR="002317DC" w:rsidRPr="005A2E37" w:rsidRDefault="00000000" w:rsidP="006C0365">
      <w:pPr>
        <w:numPr>
          <w:ilvl w:val="1"/>
          <w:numId w:val="14"/>
        </w:numPr>
        <w:spacing w:before="105" w:after="105" w:line="360" w:lineRule="auto"/>
        <w:rPr>
          <w:rFonts w:ascii="12" w:hAnsi="12"/>
          <w:sz w:val="24"/>
          <w:szCs w:val="24"/>
        </w:rPr>
      </w:pPr>
      <w:r w:rsidRPr="005A2E37">
        <w:rPr>
          <w:rFonts w:ascii="12" w:eastAsia="inter" w:hAnsi="12" w:cs="inter"/>
          <w:color w:val="000000"/>
          <w:sz w:val="24"/>
          <w:szCs w:val="24"/>
        </w:rPr>
        <w:t>Limited use of integrated analytics for biodiversity monitoring, ecosystem health assessment, and climate change response.</w:t>
      </w:r>
    </w:p>
    <w:p w14:paraId="4CC9A555" w14:textId="77777777" w:rsidR="002317DC" w:rsidRPr="005A2E37" w:rsidRDefault="00000000" w:rsidP="006C0365">
      <w:pPr>
        <w:numPr>
          <w:ilvl w:val="1"/>
          <w:numId w:val="14"/>
        </w:numPr>
        <w:spacing w:before="105" w:after="105" w:line="360" w:lineRule="auto"/>
        <w:rPr>
          <w:rFonts w:ascii="12" w:hAnsi="12"/>
          <w:sz w:val="24"/>
          <w:szCs w:val="24"/>
        </w:rPr>
      </w:pPr>
      <w:r w:rsidRPr="005A2E37">
        <w:rPr>
          <w:rFonts w:ascii="12" w:eastAsia="inter" w:hAnsi="12" w:cs="inter"/>
          <w:color w:val="000000"/>
          <w:sz w:val="24"/>
          <w:szCs w:val="24"/>
        </w:rPr>
        <w:t>Development of digital platforms for data sharing, community-driven conservation data, and climate adaptation modeling needed.</w:t>
      </w:r>
    </w:p>
    <w:p w14:paraId="6ED895A7" w14:textId="3153FA8B" w:rsidR="002317DC" w:rsidRPr="005A2E37" w:rsidRDefault="00000000">
      <w:pPr>
        <w:numPr>
          <w:ilvl w:val="0"/>
          <w:numId w:val="2"/>
        </w:numPr>
        <w:spacing w:after="210" w:line="360" w:lineRule="auto"/>
        <w:rPr>
          <w:rFonts w:ascii="12" w:hAnsi="12"/>
          <w:sz w:val="24"/>
          <w:szCs w:val="24"/>
        </w:rPr>
      </w:pPr>
      <w:r w:rsidRPr="005A2E37">
        <w:rPr>
          <w:rFonts w:ascii="12" w:eastAsia="inter" w:hAnsi="12" w:cs="inter"/>
          <w:b/>
          <w:color w:val="000000"/>
          <w:sz w:val="24"/>
          <w:szCs w:val="24"/>
        </w:rPr>
        <w:t xml:space="preserve">Ethics and </w:t>
      </w:r>
      <w:r w:rsidR="008B3B02">
        <w:rPr>
          <w:rFonts w:ascii="12" w:eastAsia="inter" w:hAnsi="12" w:cs="inter"/>
          <w:b/>
          <w:color w:val="000000"/>
          <w:sz w:val="24"/>
          <w:szCs w:val="24"/>
        </w:rPr>
        <w:t>d</w:t>
      </w:r>
      <w:r w:rsidRPr="005A2E37">
        <w:rPr>
          <w:rFonts w:ascii="12" w:eastAsia="inter" w:hAnsi="12" w:cs="inter"/>
          <w:b/>
          <w:color w:val="000000"/>
          <w:sz w:val="24"/>
          <w:szCs w:val="24"/>
        </w:rPr>
        <w:t xml:space="preserve">ata </w:t>
      </w:r>
      <w:r w:rsidR="008B3B02">
        <w:rPr>
          <w:rFonts w:ascii="12" w:eastAsia="inter" w:hAnsi="12" w:cs="inter"/>
          <w:b/>
          <w:color w:val="000000"/>
          <w:sz w:val="24"/>
          <w:szCs w:val="24"/>
        </w:rPr>
        <w:t>s</w:t>
      </w:r>
      <w:r w:rsidRPr="005A2E37">
        <w:rPr>
          <w:rFonts w:ascii="12" w:eastAsia="inter" w:hAnsi="12" w:cs="inter"/>
          <w:b/>
          <w:color w:val="000000"/>
          <w:sz w:val="24"/>
          <w:szCs w:val="24"/>
        </w:rPr>
        <w:t xml:space="preserve">ecurity in </w:t>
      </w:r>
      <w:r w:rsidR="008B3B02">
        <w:rPr>
          <w:rFonts w:ascii="12" w:eastAsia="inter" w:hAnsi="12" w:cs="inter"/>
          <w:b/>
          <w:color w:val="000000"/>
          <w:sz w:val="24"/>
          <w:szCs w:val="24"/>
        </w:rPr>
        <w:t>a</w:t>
      </w:r>
      <w:r w:rsidRPr="005A2E37">
        <w:rPr>
          <w:rFonts w:ascii="12" w:eastAsia="inter" w:hAnsi="12" w:cs="inter"/>
          <w:b/>
          <w:color w:val="000000"/>
          <w:sz w:val="24"/>
          <w:szCs w:val="24"/>
        </w:rPr>
        <w:t>nalytics</w:t>
      </w:r>
    </w:p>
    <w:p w14:paraId="05F21777" w14:textId="77777777" w:rsidR="002317DC" w:rsidRPr="005A2E37" w:rsidRDefault="00000000" w:rsidP="006C0365">
      <w:pPr>
        <w:numPr>
          <w:ilvl w:val="1"/>
          <w:numId w:val="15"/>
        </w:numPr>
        <w:spacing w:before="105" w:after="105" w:line="360" w:lineRule="auto"/>
        <w:rPr>
          <w:rFonts w:ascii="12" w:hAnsi="12"/>
          <w:sz w:val="24"/>
          <w:szCs w:val="24"/>
        </w:rPr>
      </w:pPr>
      <w:r w:rsidRPr="005A2E37">
        <w:rPr>
          <w:rFonts w:ascii="12" w:eastAsia="inter" w:hAnsi="12" w:cs="inter"/>
          <w:color w:val="000000"/>
          <w:sz w:val="24"/>
          <w:szCs w:val="24"/>
        </w:rPr>
        <w:t>Implement data protection strategies aligned with ethical standards for handling sensitive health and conservation data.</w:t>
      </w:r>
    </w:p>
    <w:p w14:paraId="337AE402" w14:textId="77777777" w:rsidR="002317DC" w:rsidRPr="008B3B02" w:rsidRDefault="00000000" w:rsidP="006C0365">
      <w:pPr>
        <w:numPr>
          <w:ilvl w:val="1"/>
          <w:numId w:val="15"/>
        </w:numPr>
        <w:spacing w:before="105" w:after="105" w:line="360" w:lineRule="auto"/>
        <w:rPr>
          <w:rFonts w:ascii="12" w:hAnsi="12"/>
          <w:sz w:val="24"/>
          <w:szCs w:val="24"/>
        </w:rPr>
      </w:pPr>
      <w:r w:rsidRPr="005A2E37">
        <w:rPr>
          <w:rFonts w:ascii="12" w:eastAsia="inter" w:hAnsi="12" w:cs="inter"/>
          <w:color w:val="000000"/>
          <w:sz w:val="24"/>
          <w:szCs w:val="24"/>
        </w:rPr>
        <w:t>Ensure compliance with institutional policies and external regulations on data privacy and research ethics.</w:t>
      </w:r>
    </w:p>
    <w:p w14:paraId="33ABB772" w14:textId="77777777" w:rsidR="008B3B02" w:rsidRDefault="008B3B02" w:rsidP="008B3B02">
      <w:pPr>
        <w:spacing w:before="105" w:after="105" w:line="360" w:lineRule="auto"/>
        <w:rPr>
          <w:rFonts w:ascii="12" w:eastAsia="inter" w:hAnsi="12" w:cs="inter"/>
          <w:color w:val="000000"/>
          <w:sz w:val="24"/>
          <w:szCs w:val="24"/>
        </w:rPr>
      </w:pPr>
    </w:p>
    <w:p w14:paraId="457B2703" w14:textId="77777777" w:rsidR="008B3B02" w:rsidRPr="005A2E37" w:rsidRDefault="008B3B02" w:rsidP="008B3B02">
      <w:pPr>
        <w:spacing w:before="105" w:after="105" w:line="360" w:lineRule="auto"/>
        <w:rPr>
          <w:rFonts w:ascii="12" w:hAnsi="12"/>
          <w:sz w:val="24"/>
          <w:szCs w:val="24"/>
        </w:rPr>
      </w:pPr>
    </w:p>
    <w:p w14:paraId="0C89E7E9" w14:textId="2C18F816" w:rsidR="002317DC" w:rsidRPr="005A2E37" w:rsidRDefault="00000000">
      <w:pPr>
        <w:spacing w:before="315" w:after="105" w:line="360" w:lineRule="auto"/>
        <w:ind w:left="-30"/>
        <w:rPr>
          <w:rFonts w:ascii="12" w:hAnsi="12"/>
          <w:sz w:val="24"/>
          <w:szCs w:val="24"/>
        </w:rPr>
      </w:pPr>
      <w:r w:rsidRPr="005A2E37">
        <w:rPr>
          <w:rFonts w:ascii="12" w:eastAsia="inter" w:hAnsi="12" w:cs="inter"/>
          <w:b/>
          <w:color w:val="000000"/>
          <w:sz w:val="24"/>
          <w:szCs w:val="24"/>
        </w:rPr>
        <w:lastRenderedPageBreak/>
        <w:t xml:space="preserve">Strategic </w:t>
      </w:r>
      <w:r w:rsidR="006C0365">
        <w:rPr>
          <w:rFonts w:ascii="12" w:eastAsia="inter" w:hAnsi="12" w:cs="inter"/>
          <w:b/>
          <w:color w:val="000000"/>
          <w:sz w:val="24"/>
          <w:szCs w:val="24"/>
        </w:rPr>
        <w:t>p</w:t>
      </w:r>
      <w:r w:rsidRPr="005A2E37">
        <w:rPr>
          <w:rFonts w:ascii="12" w:eastAsia="inter" w:hAnsi="12" w:cs="inter"/>
          <w:b/>
          <w:color w:val="000000"/>
          <w:sz w:val="24"/>
          <w:szCs w:val="24"/>
        </w:rPr>
        <w:t xml:space="preserve">riorities for </w:t>
      </w:r>
      <w:r w:rsidR="006C0365">
        <w:rPr>
          <w:rFonts w:ascii="12" w:eastAsia="inter" w:hAnsi="12" w:cs="inter"/>
          <w:b/>
          <w:color w:val="000000"/>
          <w:sz w:val="24"/>
          <w:szCs w:val="24"/>
        </w:rPr>
        <w:t>d</w:t>
      </w:r>
      <w:r w:rsidRPr="005A2E37">
        <w:rPr>
          <w:rFonts w:ascii="12" w:eastAsia="inter" w:hAnsi="12" w:cs="inter"/>
          <w:b/>
          <w:color w:val="000000"/>
          <w:sz w:val="24"/>
          <w:szCs w:val="24"/>
        </w:rPr>
        <w:t xml:space="preserve">ata </w:t>
      </w:r>
      <w:r w:rsidR="006C0365">
        <w:rPr>
          <w:rFonts w:ascii="12" w:eastAsia="inter" w:hAnsi="12" w:cs="inter"/>
          <w:b/>
          <w:color w:val="000000"/>
          <w:sz w:val="24"/>
          <w:szCs w:val="24"/>
        </w:rPr>
        <w:t>s</w:t>
      </w:r>
      <w:r w:rsidRPr="005A2E37">
        <w:rPr>
          <w:rFonts w:ascii="12" w:eastAsia="inter" w:hAnsi="12" w:cs="inter"/>
          <w:b/>
          <w:color w:val="000000"/>
          <w:sz w:val="24"/>
          <w:szCs w:val="24"/>
        </w:rPr>
        <w:t xml:space="preserve">cience and </w:t>
      </w:r>
      <w:r w:rsidR="006C0365">
        <w:rPr>
          <w:rFonts w:ascii="12" w:eastAsia="inter" w:hAnsi="12" w:cs="inter"/>
          <w:b/>
          <w:color w:val="000000"/>
          <w:sz w:val="24"/>
          <w:szCs w:val="24"/>
        </w:rPr>
        <w:t>a</w:t>
      </w:r>
      <w:r w:rsidRPr="005A2E37">
        <w:rPr>
          <w:rFonts w:ascii="12" w:eastAsia="inter" w:hAnsi="12" w:cs="inter"/>
          <w:b/>
          <w:color w:val="000000"/>
          <w:sz w:val="24"/>
          <w:szCs w:val="24"/>
        </w:rPr>
        <w:t>nalytics</w:t>
      </w:r>
    </w:p>
    <w:p w14:paraId="21929E8D" w14:textId="77777777" w:rsidR="002317DC" w:rsidRPr="005A2E37" w:rsidRDefault="00000000">
      <w:pPr>
        <w:numPr>
          <w:ilvl w:val="0"/>
          <w:numId w:val="3"/>
        </w:numPr>
        <w:spacing w:before="105" w:after="105" w:line="360" w:lineRule="auto"/>
        <w:rPr>
          <w:rFonts w:ascii="12" w:hAnsi="12"/>
          <w:sz w:val="24"/>
          <w:szCs w:val="24"/>
        </w:rPr>
      </w:pPr>
      <w:r w:rsidRPr="005A2E37">
        <w:rPr>
          <w:rFonts w:ascii="12" w:eastAsia="inter" w:hAnsi="12" w:cs="inter"/>
          <w:color w:val="000000"/>
          <w:sz w:val="24"/>
          <w:szCs w:val="24"/>
        </w:rPr>
        <w:t>Develop a centralized data analytics and visualization platform.</w:t>
      </w:r>
    </w:p>
    <w:p w14:paraId="10D956F3" w14:textId="77777777" w:rsidR="002317DC" w:rsidRPr="005A2E37" w:rsidRDefault="00000000">
      <w:pPr>
        <w:numPr>
          <w:ilvl w:val="0"/>
          <w:numId w:val="3"/>
        </w:numPr>
        <w:spacing w:before="105" w:after="105" w:line="360" w:lineRule="auto"/>
        <w:rPr>
          <w:rFonts w:ascii="12" w:hAnsi="12"/>
          <w:sz w:val="24"/>
          <w:szCs w:val="24"/>
        </w:rPr>
      </w:pPr>
      <w:r w:rsidRPr="005A2E37">
        <w:rPr>
          <w:rFonts w:ascii="12" w:eastAsia="inter" w:hAnsi="12" w:cs="inter"/>
          <w:color w:val="000000"/>
          <w:sz w:val="24"/>
          <w:szCs w:val="24"/>
        </w:rPr>
        <w:t>Establish robust data governance and protection frameworks.</w:t>
      </w:r>
    </w:p>
    <w:p w14:paraId="7CE965F1" w14:textId="77777777" w:rsidR="002317DC" w:rsidRPr="005A2E37" w:rsidRDefault="00000000">
      <w:pPr>
        <w:numPr>
          <w:ilvl w:val="0"/>
          <w:numId w:val="3"/>
        </w:numPr>
        <w:spacing w:before="105" w:after="105" w:line="360" w:lineRule="auto"/>
        <w:rPr>
          <w:rFonts w:ascii="12" w:hAnsi="12"/>
          <w:sz w:val="24"/>
          <w:szCs w:val="24"/>
        </w:rPr>
      </w:pPr>
      <w:r w:rsidRPr="005A2E37">
        <w:rPr>
          <w:rFonts w:ascii="12" w:eastAsia="inter" w:hAnsi="12" w:cs="inter"/>
          <w:color w:val="000000"/>
          <w:sz w:val="24"/>
          <w:szCs w:val="24"/>
        </w:rPr>
        <w:t>Enhance interdisciplinary analytics to connect public health, primate biology, and environment domains.</w:t>
      </w:r>
    </w:p>
    <w:p w14:paraId="20F8BB33" w14:textId="77777777" w:rsidR="002317DC" w:rsidRPr="005A2E37" w:rsidRDefault="00000000">
      <w:pPr>
        <w:numPr>
          <w:ilvl w:val="0"/>
          <w:numId w:val="3"/>
        </w:numPr>
        <w:spacing w:before="105" w:after="105" w:line="360" w:lineRule="auto"/>
        <w:rPr>
          <w:rFonts w:ascii="12" w:hAnsi="12"/>
          <w:sz w:val="24"/>
          <w:szCs w:val="24"/>
        </w:rPr>
      </w:pPr>
      <w:r w:rsidRPr="005A2E37">
        <w:rPr>
          <w:rFonts w:ascii="12" w:eastAsia="inter" w:hAnsi="12" w:cs="inter"/>
          <w:color w:val="000000"/>
          <w:sz w:val="24"/>
          <w:szCs w:val="24"/>
        </w:rPr>
        <w:t>Create analytic support for monitoring and evaluation to improve operational effectiveness.</w:t>
      </w:r>
    </w:p>
    <w:p w14:paraId="013255B1" w14:textId="77777777" w:rsidR="002317DC" w:rsidRPr="005A2E37" w:rsidRDefault="00000000">
      <w:pPr>
        <w:numPr>
          <w:ilvl w:val="0"/>
          <w:numId w:val="3"/>
        </w:numPr>
        <w:spacing w:before="105" w:after="105" w:line="360" w:lineRule="auto"/>
        <w:rPr>
          <w:rFonts w:ascii="12" w:hAnsi="12"/>
          <w:sz w:val="24"/>
          <w:szCs w:val="24"/>
        </w:rPr>
      </w:pPr>
      <w:r w:rsidRPr="005A2E37">
        <w:rPr>
          <w:rFonts w:ascii="12" w:eastAsia="inter" w:hAnsi="12" w:cs="inter"/>
          <w:color w:val="000000"/>
          <w:sz w:val="24"/>
          <w:szCs w:val="24"/>
        </w:rPr>
        <w:t>Invest in capacity building through training and mentorship in modern data science tools and techniques.</w:t>
      </w:r>
    </w:p>
    <w:p w14:paraId="030E29B1" w14:textId="77777777" w:rsidR="002317DC" w:rsidRPr="005A2E37" w:rsidRDefault="00000000">
      <w:pPr>
        <w:numPr>
          <w:ilvl w:val="0"/>
          <w:numId w:val="3"/>
        </w:numPr>
        <w:spacing w:before="105" w:after="105" w:line="360" w:lineRule="auto"/>
        <w:rPr>
          <w:rFonts w:ascii="12" w:hAnsi="12"/>
          <w:sz w:val="24"/>
          <w:szCs w:val="24"/>
        </w:rPr>
      </w:pPr>
      <w:r w:rsidRPr="005A2E37">
        <w:rPr>
          <w:rFonts w:ascii="12" w:eastAsia="inter" w:hAnsi="12" w:cs="inter"/>
          <w:color w:val="000000"/>
          <w:sz w:val="24"/>
          <w:szCs w:val="24"/>
        </w:rPr>
        <w:t>Support research innovation by translating analytics into decision-support tools for conservation, health, and policy making.</w:t>
      </w:r>
    </w:p>
    <w:p w14:paraId="51621C3B" w14:textId="60EFF87B" w:rsidR="002317DC" w:rsidRPr="005A2E37" w:rsidRDefault="00000000">
      <w:pPr>
        <w:spacing w:after="210" w:line="360" w:lineRule="auto"/>
        <w:rPr>
          <w:rFonts w:ascii="12" w:hAnsi="12"/>
          <w:sz w:val="24"/>
          <w:szCs w:val="24"/>
        </w:rPr>
      </w:pPr>
      <w:r w:rsidRPr="005A2E37">
        <w:rPr>
          <w:rFonts w:ascii="12" w:eastAsia="inter" w:hAnsi="12" w:cs="inter"/>
          <w:color w:val="000000"/>
          <w:sz w:val="24"/>
          <w:szCs w:val="24"/>
        </w:rPr>
        <w:t xml:space="preserve">By focusing on these gaps and strategic priorities, the Data Science and Analytics </w:t>
      </w:r>
      <w:r w:rsidR="008B3B02">
        <w:rPr>
          <w:rFonts w:ascii="12" w:eastAsia="inter" w:hAnsi="12" w:cs="inter"/>
          <w:color w:val="000000"/>
          <w:sz w:val="24"/>
          <w:szCs w:val="24"/>
        </w:rPr>
        <w:t>section</w:t>
      </w:r>
      <w:r w:rsidRPr="005A2E37">
        <w:rPr>
          <w:rFonts w:ascii="12" w:eastAsia="inter" w:hAnsi="12" w:cs="inter"/>
          <w:color w:val="000000"/>
          <w:sz w:val="24"/>
          <w:szCs w:val="24"/>
        </w:rPr>
        <w:t xml:space="preserve"> can provide the analytical backbone that complements the ICT infrastructure, thereby advancing KIPRE’s research excellence and impact on public and ecosystem health.</w:t>
      </w:r>
    </w:p>
    <w:p w14:paraId="41C93541" w14:textId="711C6CF5" w:rsidR="002317DC" w:rsidRPr="005A2E37" w:rsidRDefault="00000000" w:rsidP="0092247B">
      <w:pPr>
        <w:spacing w:after="210" w:line="360" w:lineRule="auto"/>
        <w:rPr>
          <w:rFonts w:ascii="12" w:hAnsi="12"/>
          <w:sz w:val="24"/>
          <w:szCs w:val="24"/>
        </w:rPr>
      </w:pPr>
      <w:r>
        <w:rPr>
          <w:rFonts w:ascii="12" w:hAnsi="12"/>
          <w:noProof/>
          <w:sz w:val="24"/>
          <w:szCs w:val="24"/>
        </w:rPr>
        <w:pict w14:anchorId="13F61604">
          <v:rect id="_x0000_s1026" style="position:absolute;margin-left:0;margin-top:0;width:475.5pt;height:.05pt;z-index:251657728;mso-position-horizontal-relative:text;mso-position-vertical-relative:text" o:hralign="center" o:hrstd="t" strokeweight="1pt">
            <v:stroke opacity="0"/>
          </v:rect>
        </w:pict>
      </w:r>
      <w:bookmarkStart w:id="0" w:name="fn1"/>
      <w:bookmarkEnd w:id="0"/>
    </w:p>
    <w:sectPr w:rsidR="002317DC" w:rsidRPr="005A2E37">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12">
    <w:altName w:val="Cambria"/>
    <w:panose1 w:val="00000000000000000000"/>
    <w:charset w:val="00"/>
    <w:family w:val="roman"/>
    <w:notTrueType/>
    <w:pitch w:val="default"/>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22BF"/>
    <w:multiLevelType w:val="hybridMultilevel"/>
    <w:tmpl w:val="7A1AC378"/>
    <w:lvl w:ilvl="0" w:tplc="FFFFFFFF">
      <w:start w:val="1"/>
      <w:numFmt w:val="decimal"/>
      <w:lvlText w:val="%1."/>
      <w:lvlJc w:val="left"/>
      <w:pPr>
        <w:tabs>
          <w:tab w:val="num" w:pos="900"/>
        </w:tabs>
        <w:ind w:left="540" w:hanging="360"/>
      </w:pPr>
    </w:lvl>
    <w:lvl w:ilvl="1" w:tplc="0409000B">
      <w:start w:val="1"/>
      <w:numFmt w:val="bullet"/>
      <w:lvlText w:val=""/>
      <w:lvlJc w:val="left"/>
      <w:pPr>
        <w:ind w:left="10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FB7AD5"/>
    <w:multiLevelType w:val="hybridMultilevel"/>
    <w:tmpl w:val="15B2AC3C"/>
    <w:lvl w:ilvl="0" w:tplc="FFFFFFFF">
      <w:start w:val="1"/>
      <w:numFmt w:val="decimal"/>
      <w:lvlText w:val="%1."/>
      <w:lvlJc w:val="left"/>
      <w:pPr>
        <w:tabs>
          <w:tab w:val="num" w:pos="900"/>
        </w:tabs>
        <w:ind w:left="540" w:hanging="360"/>
      </w:pPr>
    </w:lvl>
    <w:lvl w:ilvl="1" w:tplc="0409000B">
      <w:start w:val="1"/>
      <w:numFmt w:val="bullet"/>
      <w:lvlText w:val=""/>
      <w:lvlJc w:val="left"/>
      <w:pPr>
        <w:ind w:left="10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24734D5"/>
    <w:multiLevelType w:val="hybridMultilevel"/>
    <w:tmpl w:val="16F4CDEA"/>
    <w:lvl w:ilvl="0" w:tplc="022C9FBA">
      <w:start w:val="1"/>
      <w:numFmt w:val="decimal"/>
      <w:lvlText w:val="%1."/>
      <w:lvlJc w:val="left"/>
      <w:pPr>
        <w:tabs>
          <w:tab w:val="num" w:pos="900"/>
        </w:tabs>
        <w:ind w:left="540" w:hanging="360"/>
      </w:pPr>
    </w:lvl>
    <w:lvl w:ilvl="1" w:tplc="33EEB04A">
      <w:start w:val="1"/>
      <w:numFmt w:val="bullet"/>
      <w:lvlText w:val="o"/>
      <w:lvlJc w:val="left"/>
      <w:pPr>
        <w:tabs>
          <w:tab w:val="num" w:pos="1440"/>
        </w:tabs>
        <w:ind w:left="1080" w:hanging="360"/>
      </w:pPr>
      <w:rPr>
        <w:rFonts w:ascii="Courier New" w:hAnsi="Courier New" w:cs="Courier New" w:hint="default"/>
      </w:rPr>
    </w:lvl>
    <w:lvl w:ilvl="2" w:tplc="B386C736">
      <w:numFmt w:val="decimal"/>
      <w:lvlText w:val=""/>
      <w:lvlJc w:val="left"/>
    </w:lvl>
    <w:lvl w:ilvl="3" w:tplc="0784A0D2">
      <w:numFmt w:val="decimal"/>
      <w:lvlText w:val=""/>
      <w:lvlJc w:val="left"/>
    </w:lvl>
    <w:lvl w:ilvl="4" w:tplc="08E6A488">
      <w:numFmt w:val="decimal"/>
      <w:lvlText w:val=""/>
      <w:lvlJc w:val="left"/>
    </w:lvl>
    <w:lvl w:ilvl="5" w:tplc="68D2C7F8">
      <w:numFmt w:val="decimal"/>
      <w:lvlText w:val=""/>
      <w:lvlJc w:val="left"/>
    </w:lvl>
    <w:lvl w:ilvl="6" w:tplc="17DC9862">
      <w:numFmt w:val="decimal"/>
      <w:lvlText w:val=""/>
      <w:lvlJc w:val="left"/>
    </w:lvl>
    <w:lvl w:ilvl="7" w:tplc="88FA895C">
      <w:numFmt w:val="decimal"/>
      <w:lvlText w:val=""/>
      <w:lvlJc w:val="left"/>
    </w:lvl>
    <w:lvl w:ilvl="8" w:tplc="190C58D6">
      <w:numFmt w:val="decimal"/>
      <w:lvlText w:val=""/>
      <w:lvlJc w:val="left"/>
    </w:lvl>
  </w:abstractNum>
  <w:abstractNum w:abstractNumId="3" w15:restartNumberingAfterBreak="0">
    <w:nsid w:val="243242C8"/>
    <w:multiLevelType w:val="hybridMultilevel"/>
    <w:tmpl w:val="96F855EC"/>
    <w:lvl w:ilvl="0" w:tplc="FFFFFFFF">
      <w:start w:val="1"/>
      <w:numFmt w:val="decimal"/>
      <w:lvlText w:val="%1."/>
      <w:lvlJc w:val="left"/>
      <w:pPr>
        <w:tabs>
          <w:tab w:val="num" w:pos="900"/>
        </w:tabs>
        <w:ind w:left="540" w:hanging="360"/>
      </w:pPr>
    </w:lvl>
    <w:lvl w:ilvl="1" w:tplc="0409000B">
      <w:start w:val="1"/>
      <w:numFmt w:val="bullet"/>
      <w:lvlText w:val=""/>
      <w:lvlJc w:val="left"/>
      <w:pPr>
        <w:ind w:left="10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8603554"/>
    <w:multiLevelType w:val="hybridMultilevel"/>
    <w:tmpl w:val="2460EF1A"/>
    <w:lvl w:ilvl="0" w:tplc="36E8C17A">
      <w:start w:val="1"/>
      <w:numFmt w:val="decimal"/>
      <w:lvlText w:val="%1."/>
      <w:lvlJc w:val="left"/>
      <w:pPr>
        <w:tabs>
          <w:tab w:val="num" w:pos="900"/>
        </w:tabs>
        <w:ind w:left="540" w:hanging="360"/>
      </w:pPr>
    </w:lvl>
    <w:lvl w:ilvl="1" w:tplc="E9ACF748">
      <w:numFmt w:val="decimal"/>
      <w:lvlText w:val=""/>
      <w:lvlJc w:val="left"/>
    </w:lvl>
    <w:lvl w:ilvl="2" w:tplc="40D0E7F0">
      <w:numFmt w:val="decimal"/>
      <w:lvlText w:val=""/>
      <w:lvlJc w:val="left"/>
    </w:lvl>
    <w:lvl w:ilvl="3" w:tplc="831AE30A">
      <w:numFmt w:val="decimal"/>
      <w:lvlText w:val=""/>
      <w:lvlJc w:val="left"/>
    </w:lvl>
    <w:lvl w:ilvl="4" w:tplc="80467EC2">
      <w:numFmt w:val="decimal"/>
      <w:lvlText w:val=""/>
      <w:lvlJc w:val="left"/>
    </w:lvl>
    <w:lvl w:ilvl="5" w:tplc="599E9D72">
      <w:numFmt w:val="decimal"/>
      <w:lvlText w:val=""/>
      <w:lvlJc w:val="left"/>
    </w:lvl>
    <w:lvl w:ilvl="6" w:tplc="90802226">
      <w:numFmt w:val="decimal"/>
      <w:lvlText w:val=""/>
      <w:lvlJc w:val="left"/>
    </w:lvl>
    <w:lvl w:ilvl="7" w:tplc="5B565904">
      <w:numFmt w:val="decimal"/>
      <w:lvlText w:val=""/>
      <w:lvlJc w:val="left"/>
    </w:lvl>
    <w:lvl w:ilvl="8" w:tplc="4D122E66">
      <w:numFmt w:val="decimal"/>
      <w:lvlText w:val=""/>
      <w:lvlJc w:val="left"/>
    </w:lvl>
  </w:abstractNum>
  <w:abstractNum w:abstractNumId="5" w15:restartNumberingAfterBreak="0">
    <w:nsid w:val="2D02671B"/>
    <w:multiLevelType w:val="hybridMultilevel"/>
    <w:tmpl w:val="901C1E92"/>
    <w:lvl w:ilvl="0" w:tplc="2B5E25F4">
      <w:start w:val="1"/>
      <w:numFmt w:val="bullet"/>
      <w:lvlText w:val=""/>
      <w:lvlJc w:val="left"/>
      <w:pPr>
        <w:tabs>
          <w:tab w:val="num" w:pos="900"/>
        </w:tabs>
        <w:ind w:left="540" w:hanging="360"/>
      </w:pPr>
      <w:rPr>
        <w:rFonts w:ascii="Symbol" w:hAnsi="Symbol" w:hint="default"/>
      </w:rPr>
    </w:lvl>
    <w:lvl w:ilvl="1" w:tplc="8A705A3A">
      <w:numFmt w:val="decimal"/>
      <w:lvlText w:val=""/>
      <w:lvlJc w:val="left"/>
    </w:lvl>
    <w:lvl w:ilvl="2" w:tplc="DF00A474">
      <w:numFmt w:val="decimal"/>
      <w:lvlText w:val=""/>
      <w:lvlJc w:val="left"/>
    </w:lvl>
    <w:lvl w:ilvl="3" w:tplc="8C449D12">
      <w:numFmt w:val="decimal"/>
      <w:lvlText w:val=""/>
      <w:lvlJc w:val="left"/>
    </w:lvl>
    <w:lvl w:ilvl="4" w:tplc="34AC3370">
      <w:numFmt w:val="decimal"/>
      <w:lvlText w:val=""/>
      <w:lvlJc w:val="left"/>
    </w:lvl>
    <w:lvl w:ilvl="5" w:tplc="CF5EFE00">
      <w:numFmt w:val="decimal"/>
      <w:lvlText w:val=""/>
      <w:lvlJc w:val="left"/>
    </w:lvl>
    <w:lvl w:ilvl="6" w:tplc="E2B60034">
      <w:numFmt w:val="decimal"/>
      <w:lvlText w:val=""/>
      <w:lvlJc w:val="left"/>
    </w:lvl>
    <w:lvl w:ilvl="7" w:tplc="3B06C160">
      <w:numFmt w:val="decimal"/>
      <w:lvlText w:val=""/>
      <w:lvlJc w:val="left"/>
    </w:lvl>
    <w:lvl w:ilvl="8" w:tplc="256C0F86">
      <w:numFmt w:val="decimal"/>
      <w:lvlText w:val=""/>
      <w:lvlJc w:val="left"/>
    </w:lvl>
  </w:abstractNum>
  <w:abstractNum w:abstractNumId="6" w15:restartNumberingAfterBreak="0">
    <w:nsid w:val="38FF54A9"/>
    <w:multiLevelType w:val="hybridMultilevel"/>
    <w:tmpl w:val="9A48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B5320"/>
    <w:multiLevelType w:val="hybridMultilevel"/>
    <w:tmpl w:val="4B3A42E2"/>
    <w:lvl w:ilvl="0" w:tplc="FFFFFFFF">
      <w:start w:val="1"/>
      <w:numFmt w:val="decimal"/>
      <w:lvlText w:val="%1."/>
      <w:lvlJc w:val="left"/>
      <w:pPr>
        <w:tabs>
          <w:tab w:val="num" w:pos="900"/>
        </w:tabs>
        <w:ind w:left="540" w:hanging="360"/>
      </w:pPr>
    </w:lvl>
    <w:lvl w:ilvl="1" w:tplc="0409000B">
      <w:start w:val="1"/>
      <w:numFmt w:val="bullet"/>
      <w:lvlText w:val=""/>
      <w:lvlJc w:val="left"/>
      <w:pPr>
        <w:ind w:left="10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71B22BC"/>
    <w:multiLevelType w:val="hybridMultilevel"/>
    <w:tmpl w:val="81700F6C"/>
    <w:lvl w:ilvl="0" w:tplc="EA344E64">
      <w:start w:val="1"/>
      <w:numFmt w:val="bullet"/>
      <w:lvlText w:val=""/>
      <w:lvlJc w:val="left"/>
      <w:pPr>
        <w:tabs>
          <w:tab w:val="num" w:pos="900"/>
        </w:tabs>
        <w:ind w:left="540" w:hanging="360"/>
      </w:pPr>
      <w:rPr>
        <w:rFonts w:ascii="Symbol" w:hAnsi="Symbol" w:hint="default"/>
      </w:rPr>
    </w:lvl>
    <w:lvl w:ilvl="1" w:tplc="B3CC503E">
      <w:start w:val="1"/>
      <w:numFmt w:val="bullet"/>
      <w:lvlText w:val="o"/>
      <w:lvlJc w:val="left"/>
      <w:pPr>
        <w:tabs>
          <w:tab w:val="num" w:pos="1440"/>
        </w:tabs>
        <w:ind w:left="1080" w:hanging="360"/>
      </w:pPr>
      <w:rPr>
        <w:rFonts w:ascii="Courier New" w:hAnsi="Courier New" w:cs="Courier New" w:hint="default"/>
      </w:rPr>
    </w:lvl>
    <w:lvl w:ilvl="2" w:tplc="ED76532E">
      <w:numFmt w:val="decimal"/>
      <w:lvlText w:val=""/>
      <w:lvlJc w:val="left"/>
    </w:lvl>
    <w:lvl w:ilvl="3" w:tplc="8A3243DC">
      <w:numFmt w:val="decimal"/>
      <w:lvlText w:val=""/>
      <w:lvlJc w:val="left"/>
    </w:lvl>
    <w:lvl w:ilvl="4" w:tplc="C2748C7E">
      <w:numFmt w:val="decimal"/>
      <w:lvlText w:val=""/>
      <w:lvlJc w:val="left"/>
    </w:lvl>
    <w:lvl w:ilvl="5" w:tplc="4926A236">
      <w:numFmt w:val="decimal"/>
      <w:lvlText w:val=""/>
      <w:lvlJc w:val="left"/>
    </w:lvl>
    <w:lvl w:ilvl="6" w:tplc="5B7C2F18">
      <w:numFmt w:val="decimal"/>
      <w:lvlText w:val=""/>
      <w:lvlJc w:val="left"/>
    </w:lvl>
    <w:lvl w:ilvl="7" w:tplc="08B6A6A4">
      <w:numFmt w:val="decimal"/>
      <w:lvlText w:val=""/>
      <w:lvlJc w:val="left"/>
    </w:lvl>
    <w:lvl w:ilvl="8" w:tplc="6D222CC0">
      <w:numFmt w:val="decimal"/>
      <w:lvlText w:val=""/>
      <w:lvlJc w:val="left"/>
    </w:lvl>
  </w:abstractNum>
  <w:abstractNum w:abstractNumId="9" w15:restartNumberingAfterBreak="0">
    <w:nsid w:val="47E84B0C"/>
    <w:multiLevelType w:val="hybridMultilevel"/>
    <w:tmpl w:val="B48873DE"/>
    <w:lvl w:ilvl="0" w:tplc="B068F0CA">
      <w:numFmt w:val="decimal"/>
      <w:lvlText w:val=""/>
      <w:lvlJc w:val="left"/>
    </w:lvl>
    <w:lvl w:ilvl="1" w:tplc="0F360800">
      <w:numFmt w:val="decimal"/>
      <w:lvlText w:val=""/>
      <w:lvlJc w:val="left"/>
    </w:lvl>
    <w:lvl w:ilvl="2" w:tplc="357AEDE2">
      <w:numFmt w:val="decimal"/>
      <w:lvlText w:val=""/>
      <w:lvlJc w:val="left"/>
    </w:lvl>
    <w:lvl w:ilvl="3" w:tplc="A1663610">
      <w:numFmt w:val="decimal"/>
      <w:lvlText w:val=""/>
      <w:lvlJc w:val="left"/>
    </w:lvl>
    <w:lvl w:ilvl="4" w:tplc="5CF6B8C8">
      <w:numFmt w:val="decimal"/>
      <w:lvlText w:val=""/>
      <w:lvlJc w:val="left"/>
    </w:lvl>
    <w:lvl w:ilvl="5" w:tplc="5DB8B8AE">
      <w:numFmt w:val="decimal"/>
      <w:lvlText w:val=""/>
      <w:lvlJc w:val="left"/>
    </w:lvl>
    <w:lvl w:ilvl="6" w:tplc="72D4A20C">
      <w:numFmt w:val="decimal"/>
      <w:lvlText w:val=""/>
      <w:lvlJc w:val="left"/>
    </w:lvl>
    <w:lvl w:ilvl="7" w:tplc="42A638CE">
      <w:numFmt w:val="decimal"/>
      <w:lvlText w:val=""/>
      <w:lvlJc w:val="left"/>
    </w:lvl>
    <w:lvl w:ilvl="8" w:tplc="97EA970A">
      <w:numFmt w:val="decimal"/>
      <w:lvlText w:val=""/>
      <w:lvlJc w:val="left"/>
    </w:lvl>
  </w:abstractNum>
  <w:abstractNum w:abstractNumId="10" w15:restartNumberingAfterBreak="0">
    <w:nsid w:val="4F7C0A11"/>
    <w:multiLevelType w:val="hybridMultilevel"/>
    <w:tmpl w:val="A836AAF0"/>
    <w:lvl w:ilvl="0" w:tplc="FFFFFFFF">
      <w:start w:val="1"/>
      <w:numFmt w:val="decimal"/>
      <w:lvlText w:val="%1."/>
      <w:lvlJc w:val="left"/>
      <w:pPr>
        <w:tabs>
          <w:tab w:val="num" w:pos="900"/>
        </w:tabs>
        <w:ind w:left="540" w:hanging="360"/>
      </w:pPr>
    </w:lvl>
    <w:lvl w:ilvl="1" w:tplc="0409000B">
      <w:start w:val="1"/>
      <w:numFmt w:val="bullet"/>
      <w:lvlText w:val=""/>
      <w:lvlJc w:val="left"/>
      <w:pPr>
        <w:ind w:left="10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3F47F31"/>
    <w:multiLevelType w:val="hybridMultilevel"/>
    <w:tmpl w:val="A92EBD5C"/>
    <w:lvl w:ilvl="0" w:tplc="FFFFFFFF">
      <w:start w:val="1"/>
      <w:numFmt w:val="bullet"/>
      <w:lvlText w:val=""/>
      <w:lvlJc w:val="left"/>
      <w:pPr>
        <w:tabs>
          <w:tab w:val="num" w:pos="900"/>
        </w:tabs>
        <w:ind w:left="54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6423BC5"/>
    <w:multiLevelType w:val="hybridMultilevel"/>
    <w:tmpl w:val="6DC22A2A"/>
    <w:lvl w:ilvl="0" w:tplc="FFFFFFFF">
      <w:start w:val="1"/>
      <w:numFmt w:val="decimal"/>
      <w:lvlText w:val="%1."/>
      <w:lvlJc w:val="left"/>
      <w:pPr>
        <w:tabs>
          <w:tab w:val="num" w:pos="900"/>
        </w:tabs>
        <w:ind w:left="540" w:hanging="360"/>
      </w:pPr>
    </w:lvl>
    <w:lvl w:ilvl="1" w:tplc="0409000B">
      <w:start w:val="1"/>
      <w:numFmt w:val="bullet"/>
      <w:lvlText w:val=""/>
      <w:lvlJc w:val="left"/>
      <w:pPr>
        <w:ind w:left="10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FC23420"/>
    <w:multiLevelType w:val="hybridMultilevel"/>
    <w:tmpl w:val="99F6E538"/>
    <w:lvl w:ilvl="0" w:tplc="FFFFFFFF">
      <w:start w:val="1"/>
      <w:numFmt w:val="decimal"/>
      <w:lvlText w:val="%1."/>
      <w:lvlJc w:val="left"/>
      <w:pPr>
        <w:tabs>
          <w:tab w:val="num" w:pos="900"/>
        </w:tabs>
        <w:ind w:left="540" w:hanging="360"/>
      </w:pPr>
    </w:lvl>
    <w:lvl w:ilvl="1" w:tplc="0409000B">
      <w:start w:val="1"/>
      <w:numFmt w:val="bullet"/>
      <w:lvlText w:val=""/>
      <w:lvlJc w:val="left"/>
      <w:pPr>
        <w:ind w:left="10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A707E05"/>
    <w:multiLevelType w:val="hybridMultilevel"/>
    <w:tmpl w:val="E5349508"/>
    <w:lvl w:ilvl="0" w:tplc="FFFFFFFF">
      <w:start w:val="1"/>
      <w:numFmt w:val="bullet"/>
      <w:lvlText w:val=""/>
      <w:lvlJc w:val="left"/>
      <w:pPr>
        <w:tabs>
          <w:tab w:val="num" w:pos="900"/>
        </w:tabs>
        <w:ind w:left="540" w:hanging="360"/>
      </w:pPr>
      <w:rPr>
        <w:rFonts w:ascii="Symbol" w:hAnsi="Symbol" w:hint="default"/>
      </w:rPr>
    </w:lvl>
    <w:lvl w:ilvl="1" w:tplc="04090009">
      <w:start w:val="1"/>
      <w:numFmt w:val="bullet"/>
      <w:lvlText w:val=""/>
      <w:lvlJc w:val="left"/>
      <w:pPr>
        <w:ind w:left="10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61449113">
    <w:abstractNumId w:val="8"/>
  </w:num>
  <w:num w:numId="2" w16cid:durableId="826869821">
    <w:abstractNumId w:val="2"/>
  </w:num>
  <w:num w:numId="3" w16cid:durableId="360908741">
    <w:abstractNumId w:val="5"/>
  </w:num>
  <w:num w:numId="4" w16cid:durableId="996111283">
    <w:abstractNumId w:val="9"/>
  </w:num>
  <w:num w:numId="5" w16cid:durableId="1982230704">
    <w:abstractNumId w:val="4"/>
  </w:num>
  <w:num w:numId="6" w16cid:durableId="625434181">
    <w:abstractNumId w:val="6"/>
  </w:num>
  <w:num w:numId="7" w16cid:durableId="1043871142">
    <w:abstractNumId w:val="11"/>
  </w:num>
  <w:num w:numId="8" w16cid:durableId="1408844369">
    <w:abstractNumId w:val="14"/>
  </w:num>
  <w:num w:numId="9" w16cid:durableId="886575555">
    <w:abstractNumId w:val="7"/>
  </w:num>
  <w:num w:numId="10" w16cid:durableId="821115605">
    <w:abstractNumId w:val="0"/>
  </w:num>
  <w:num w:numId="11" w16cid:durableId="1374035711">
    <w:abstractNumId w:val="10"/>
  </w:num>
  <w:num w:numId="12" w16cid:durableId="806970045">
    <w:abstractNumId w:val="12"/>
  </w:num>
  <w:num w:numId="13" w16cid:durableId="218442254">
    <w:abstractNumId w:val="1"/>
  </w:num>
  <w:num w:numId="14" w16cid:durableId="1696732256">
    <w:abstractNumId w:val="13"/>
  </w:num>
  <w:num w:numId="15" w16cid:durableId="1101604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7DC"/>
    <w:rsid w:val="00144FE3"/>
    <w:rsid w:val="00181AF6"/>
    <w:rsid w:val="002317DC"/>
    <w:rsid w:val="00235AAA"/>
    <w:rsid w:val="00311FE9"/>
    <w:rsid w:val="0044489D"/>
    <w:rsid w:val="0045258B"/>
    <w:rsid w:val="00553AF2"/>
    <w:rsid w:val="005855B1"/>
    <w:rsid w:val="005A2E37"/>
    <w:rsid w:val="005A672A"/>
    <w:rsid w:val="006A761F"/>
    <w:rsid w:val="006C0365"/>
    <w:rsid w:val="006C6649"/>
    <w:rsid w:val="007A43CD"/>
    <w:rsid w:val="008B3B02"/>
    <w:rsid w:val="0092247B"/>
    <w:rsid w:val="00A74725"/>
    <w:rsid w:val="00C41E62"/>
    <w:rsid w:val="00C82EB7"/>
    <w:rsid w:val="00CB08E6"/>
    <w:rsid w:val="00D903B9"/>
    <w:rsid w:val="00E1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C15D5E"/>
  <w15:docId w15:val="{4C6B43D8-278F-4EEB-BE43-54C86A1D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ListParagraph">
    <w:name w:val="List Paragraph"/>
    <w:basedOn w:val="Normal"/>
    <w:uiPriority w:val="34"/>
    <w:qFormat/>
    <w:rsid w:val="005A2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41688">
      <w:bodyDiv w:val="1"/>
      <w:marLeft w:val="0"/>
      <w:marRight w:val="0"/>
      <w:marTop w:val="0"/>
      <w:marBottom w:val="0"/>
      <w:divBdr>
        <w:top w:val="none" w:sz="0" w:space="0" w:color="auto"/>
        <w:left w:val="none" w:sz="0" w:space="0" w:color="auto"/>
        <w:bottom w:val="none" w:sz="0" w:space="0" w:color="auto"/>
        <w:right w:val="none" w:sz="0" w:space="0" w:color="auto"/>
      </w:divBdr>
    </w:div>
    <w:div w:id="1384066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6</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Patrick Mwaura</cp:lastModifiedBy>
  <cp:revision>7</cp:revision>
  <dcterms:created xsi:type="dcterms:W3CDTF">2025-09-18T20:04:00Z</dcterms:created>
  <dcterms:modified xsi:type="dcterms:W3CDTF">2025-09-19T09:08:00Z</dcterms:modified>
</cp:coreProperties>
</file>