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CF203" w14:textId="77777777" w:rsidR="00F374EA" w:rsidRPr="004D320D" w:rsidRDefault="00F374EA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56DD5CEB" w14:textId="77777777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4D320D">
        <w:rPr>
          <w:rFonts w:ascii="Arial" w:eastAsia="Times New Roman" w:hAnsi="Arial" w:cs="Arial"/>
          <w:b/>
          <w:bCs/>
          <w:sz w:val="24"/>
          <w:szCs w:val="24"/>
        </w:rPr>
        <w:t>Enhanced Data Science &amp; Analytics (DS&amp;AS) Framework for KIPRE</w:t>
      </w:r>
    </w:p>
    <w:p w14:paraId="05427892" w14:textId="77777777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Executive Summary</w:t>
      </w:r>
    </w:p>
    <w:p w14:paraId="62181A4E" w14:textId="4EC8B1C0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The Kenya Institute of Primate Research (KIPRE)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is mandated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to conduct biomedical pre-clinical research to improve human </w:t>
      </w:r>
      <w:r w:rsidR="002276DB" w:rsidRPr="004D320D">
        <w:rPr>
          <w:rFonts w:ascii="Arial" w:eastAsia="Times New Roman" w:hAnsi="Arial" w:cs="Arial"/>
          <w:sz w:val="24"/>
          <w:szCs w:val="24"/>
        </w:rPr>
        <w:t>health.</w:t>
      </w:r>
      <w:r w:rsidRPr="004D320D">
        <w:rPr>
          <w:rFonts w:ascii="Arial" w:eastAsia="Times New Roman" w:hAnsi="Arial" w:cs="Arial"/>
          <w:sz w:val="24"/>
          <w:szCs w:val="24"/>
        </w:rPr>
        <w:t xml:space="preserve"> Its draft Data Protection and Sharing Policy outlines broad principles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data access rights in Art. </w:t>
      </w:r>
      <w:r w:rsidR="002276DB" w:rsidRPr="004D320D">
        <w:rPr>
          <w:rFonts w:ascii="Arial" w:eastAsia="Times New Roman" w:hAnsi="Arial" w:cs="Arial"/>
          <w:sz w:val="24"/>
          <w:szCs w:val="24"/>
        </w:rPr>
        <w:t>10 and</w:t>
      </w:r>
      <w:r w:rsidRPr="004D320D">
        <w:rPr>
          <w:rFonts w:ascii="Arial" w:eastAsia="Times New Roman" w:hAnsi="Arial" w:cs="Arial"/>
          <w:sz w:val="24"/>
          <w:szCs w:val="24"/>
        </w:rPr>
        <w:t xml:space="preserve"> breach notification in Art. </w:t>
      </w:r>
      <w:r w:rsidR="002276DB" w:rsidRPr="004D320D">
        <w:rPr>
          <w:rFonts w:ascii="Arial" w:eastAsia="Times New Roman" w:hAnsi="Arial" w:cs="Arial"/>
          <w:sz w:val="24"/>
          <w:szCs w:val="24"/>
        </w:rPr>
        <w:t>11.2) but</w:t>
      </w:r>
      <w:r w:rsidRPr="004D320D">
        <w:rPr>
          <w:rFonts w:ascii="Arial" w:eastAsia="Times New Roman" w:hAnsi="Arial" w:cs="Arial"/>
          <w:sz w:val="24"/>
          <w:szCs w:val="24"/>
        </w:rPr>
        <w:t xml:space="preserve"> lacks operational detail. This revised DS&amp;AS framework explicitly fills those gaps. It defines clear workflows, integrates DS&amp;AS roles in governance, and recommends practical measures – 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data governance structures, training programs, audit procedures, interoperability standards, and secure access systems – to strengthen policy implementation. Each section below references the draft policy’s articles to show how the DS&amp;AS enhancements align with or correct the current deficiencies.</w:t>
      </w:r>
    </w:p>
    <w:p w14:paraId="51B6150D" w14:textId="77777777" w:rsidR="00F374EA" w:rsidRPr="004D320D" w:rsidRDefault="00F374EA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51527115" w14:textId="075E353C" w:rsidR="00F374EA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Implementation Workflows for Data Processes</w:t>
      </w:r>
    </w:p>
    <w:p w14:paraId="62C918E7" w14:textId="04562F2E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The draft policy states general obligations for data sharing (Article 8) and breach notification (Article 12</w:t>
      </w:r>
      <w:r w:rsidR="002276DB" w:rsidRPr="004D320D">
        <w:rPr>
          <w:rFonts w:ascii="Arial" w:eastAsia="Times New Roman" w:hAnsi="Arial" w:cs="Arial"/>
          <w:sz w:val="24"/>
          <w:szCs w:val="24"/>
        </w:rPr>
        <w:t>) but</w:t>
      </w:r>
      <w:r w:rsidRPr="004D320D">
        <w:rPr>
          <w:rFonts w:ascii="Arial" w:eastAsia="Times New Roman" w:hAnsi="Arial" w:cs="Arial"/>
          <w:sz w:val="24"/>
          <w:szCs w:val="24"/>
        </w:rPr>
        <w:t xml:space="preserve"> does not provide step-by-step procedures. The DS&amp;AS will develop detailed workflows for key processes:</w:t>
      </w:r>
    </w:p>
    <w:p w14:paraId="57CD53CC" w14:textId="42CB93BA" w:rsidR="00F374EA" w:rsidRPr="004D320D" w:rsidRDefault="00000000" w:rsidP="004D320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Data Sharing </w:t>
      </w:r>
      <w:r w:rsidR="002276DB" w:rsidRPr="004D320D">
        <w:rPr>
          <w:rFonts w:ascii="Arial" w:eastAsia="Times New Roman" w:hAnsi="Arial" w:cs="Arial"/>
          <w:sz w:val="24"/>
          <w:szCs w:val="24"/>
        </w:rPr>
        <w:t>Workflow: -</w:t>
      </w:r>
      <w:r w:rsidRPr="004D320D">
        <w:rPr>
          <w:rFonts w:ascii="Arial" w:eastAsia="Times New Roman" w:hAnsi="Arial" w:cs="Arial"/>
          <w:sz w:val="24"/>
          <w:szCs w:val="24"/>
        </w:rPr>
        <w:t xml:space="preserve"> A formal Data Access Request process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introduced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>. When a researcher or external party requests data, DS&amp;AS will coordinate a review that includes legal/ethical clearance, data classification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anonymization level), and approval by a Data Governance Committee (DGC). Secure transfer protocols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encrypted channels per Art. </w:t>
      </w:r>
      <w:r w:rsidR="002276DB" w:rsidRPr="004D320D">
        <w:rPr>
          <w:rFonts w:ascii="Arial" w:eastAsia="Times New Roman" w:hAnsi="Arial" w:cs="Arial"/>
          <w:sz w:val="24"/>
          <w:szCs w:val="24"/>
        </w:rPr>
        <w:t>8.2)</w:t>
      </w:r>
      <w:r w:rsidRPr="004D320D">
        <w:rPr>
          <w:rFonts w:ascii="Arial" w:eastAsia="Times New Roman" w:hAnsi="Arial" w:cs="Arial"/>
          <w:sz w:val="24"/>
          <w:szCs w:val="24"/>
        </w:rPr>
        <w:t xml:space="preserve">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mandated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>. Tracking logs and metadata will record each sharing event.</w:t>
      </w:r>
    </w:p>
    <w:p w14:paraId="603C3B9A" w14:textId="6C71386E" w:rsidR="00F374EA" w:rsidRPr="004D320D" w:rsidRDefault="00000000" w:rsidP="004D320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Breach Response </w:t>
      </w:r>
      <w:r w:rsidR="002276DB" w:rsidRPr="004D320D">
        <w:rPr>
          <w:rFonts w:ascii="Arial" w:eastAsia="Times New Roman" w:hAnsi="Arial" w:cs="Arial"/>
          <w:sz w:val="24"/>
          <w:szCs w:val="24"/>
        </w:rPr>
        <w:t xml:space="preserve">Workflow: - </w:t>
      </w:r>
      <w:r w:rsidRPr="004D320D">
        <w:rPr>
          <w:rFonts w:ascii="Arial" w:eastAsia="Times New Roman" w:hAnsi="Arial" w:cs="Arial"/>
          <w:sz w:val="24"/>
          <w:szCs w:val="24"/>
        </w:rPr>
        <w:t>Although Article 12 requires breach reporting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“notify within 72</w:t>
      </w:r>
      <w:r w:rsidR="002276DB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hours”), it lacks a sequence of actions. The DS&amp;AS section will help define a Breaches Response Plan: automated alerts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intrusion detection), immediate containment steps, assignment of roles (ICT to secure systems, DS&amp;AS to analyze incident data patterns, DPO to notify authorities), and post- incident review. This will align with Art. 12’s requirements but add clarity on responsibilities and timelines.</w:t>
      </w:r>
    </w:p>
    <w:p w14:paraId="5A89C24F" w14:textId="2A3AB360" w:rsidR="00F374EA" w:rsidRPr="004D320D" w:rsidRDefault="00000000" w:rsidP="004D320D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Data Quality Assurance </w:t>
      </w:r>
      <w:r w:rsidR="002276DB" w:rsidRPr="004D320D">
        <w:rPr>
          <w:rFonts w:ascii="Arial" w:eastAsia="Times New Roman" w:hAnsi="Arial" w:cs="Arial"/>
          <w:sz w:val="24"/>
          <w:szCs w:val="24"/>
        </w:rPr>
        <w:t xml:space="preserve">Workflow: - </w:t>
      </w:r>
      <w:r w:rsidRPr="004D320D">
        <w:rPr>
          <w:rFonts w:ascii="Arial" w:eastAsia="Times New Roman" w:hAnsi="Arial" w:cs="Arial"/>
          <w:sz w:val="24"/>
          <w:szCs w:val="24"/>
        </w:rPr>
        <w:t>The policy’s vision (Art. 1.9.2) lists “Quality assurance standards</w:t>
      </w:r>
      <w:r w:rsidR="002276DB" w:rsidRPr="004D320D">
        <w:rPr>
          <w:rFonts w:ascii="Arial" w:eastAsia="Times New Roman" w:hAnsi="Arial" w:cs="Arial"/>
          <w:sz w:val="24"/>
          <w:szCs w:val="24"/>
        </w:rPr>
        <w:t>,”</w:t>
      </w:r>
      <w:r w:rsidRPr="004D320D">
        <w:rPr>
          <w:rFonts w:ascii="Arial" w:eastAsia="Times New Roman" w:hAnsi="Arial" w:cs="Arial"/>
          <w:sz w:val="24"/>
          <w:szCs w:val="24"/>
        </w:rPr>
        <w:t xml:space="preserve"> but no concrete process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is given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>. DS&amp;AS will institute routine quality checks: standardized data validation rules, periodic audits of datasets (completeness, consistency), and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 xml:space="preserve">error-correction feedback loops. Data scientists </w:t>
      </w:r>
      <w:r w:rsidRPr="004D320D">
        <w:rPr>
          <w:rFonts w:ascii="Arial" w:eastAsia="Times New Roman" w:hAnsi="Arial" w:cs="Arial"/>
          <w:sz w:val="24"/>
          <w:szCs w:val="24"/>
        </w:rPr>
        <w:lastRenderedPageBreak/>
        <w:t>will use analytics to detect anomalies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outliers or duplicates) and coordinate with researchers to remediate issues. All datasets will include metadata and documentation (as intended in Art. 1.9.2) to support transparency and reuse.</w:t>
      </w:r>
    </w:p>
    <w:p w14:paraId="12170C24" w14:textId="77777777" w:rsidR="002276DB" w:rsidRPr="004D320D" w:rsidRDefault="002276DB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560"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4F4CD9D2" w14:textId="77777777" w:rsidR="002276DB" w:rsidRPr="004D320D" w:rsidRDefault="002276DB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560"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781349EE" w14:textId="77777777" w:rsidR="002276DB" w:rsidRPr="004D320D" w:rsidRDefault="002276DB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560"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2961F9CF" w14:textId="77777777" w:rsidR="002276DB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Each workflow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documented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with flowcharts and checklists. For example:</w:t>
      </w:r>
    </w:p>
    <w:p w14:paraId="749FA44D" w14:textId="0CC0F006" w:rsidR="00F374EA" w:rsidRPr="004D320D" w:rsidRDefault="00000000" w:rsidP="004D320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Data Sharing Workflow Steps: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Cardo" w:hAnsi="Arial" w:cs="Arial"/>
          <w:sz w:val="24"/>
          <w:szCs w:val="24"/>
        </w:rPr>
        <w:t>Request submitted (user portal) → 2. DS&amp;AS triage (classify data sensitivity) → 3. DPO/Legal and ethics review → 4. DS&amp;AS/ICT implement anonymization or encryption → 5. Secure data delivery (</w:t>
      </w:r>
      <w:r w:rsidR="002276DB" w:rsidRPr="004D320D">
        <w:rPr>
          <w:rFonts w:ascii="Arial" w:eastAsia="Cardo" w:hAnsi="Arial" w:cs="Arial"/>
          <w:sz w:val="24"/>
          <w:szCs w:val="24"/>
        </w:rPr>
        <w:t>e.g.,</w:t>
      </w:r>
      <w:r w:rsidRPr="004D320D">
        <w:rPr>
          <w:rFonts w:ascii="Arial" w:eastAsia="Cardo" w:hAnsi="Arial" w:cs="Arial"/>
          <w:sz w:val="24"/>
          <w:szCs w:val="24"/>
        </w:rPr>
        <w:t xml:space="preserve"> encrypted file share) → 6. Log completion and update data registry.</w:t>
      </w:r>
    </w:p>
    <w:p w14:paraId="611EF382" w14:textId="77260999" w:rsidR="00F374EA" w:rsidRPr="004D320D" w:rsidRDefault="00000000" w:rsidP="004D320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Breach Response Steps:</w:t>
      </w:r>
      <w:r w:rsidR="004D320D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Cardo" w:hAnsi="Arial" w:cs="Arial"/>
          <w:sz w:val="24"/>
          <w:szCs w:val="24"/>
        </w:rPr>
        <w:t>Detection (auto-monitoring or user report) → 2. Assessment (DS&amp;AS and ICT determine scope) → 3. Containment (isolate affected systems) → 4. Notification (DPO alerts data subjects and regulators as per Art.12) → 5. Eradication &amp; Recovery → 6. Post-incident Review (lessons learned, system hardening).</w:t>
      </w:r>
    </w:p>
    <w:p w14:paraId="7B709CE3" w14:textId="755C285F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These specific procedures ensure that KIPRE’s responses are timely and coordinated – addressing the lack of clarity in Art. </w:t>
      </w:r>
      <w:r w:rsidR="002276DB" w:rsidRPr="004D320D">
        <w:rPr>
          <w:rFonts w:ascii="Arial" w:eastAsia="Times New Roman" w:hAnsi="Arial" w:cs="Arial"/>
          <w:sz w:val="24"/>
          <w:szCs w:val="24"/>
        </w:rPr>
        <w:t>12 and</w:t>
      </w:r>
      <w:r w:rsidRPr="004D320D">
        <w:rPr>
          <w:rFonts w:ascii="Arial" w:eastAsia="Times New Roman" w:hAnsi="Arial" w:cs="Arial"/>
          <w:sz w:val="24"/>
          <w:szCs w:val="24"/>
        </w:rPr>
        <w:t xml:space="preserve"> emphasizing data quality where the draft merely lists it as a </w:t>
      </w:r>
      <w:r w:rsidR="002276DB" w:rsidRPr="004D320D">
        <w:rPr>
          <w:rFonts w:ascii="Arial" w:eastAsia="Times New Roman" w:hAnsi="Arial" w:cs="Arial"/>
          <w:sz w:val="24"/>
          <w:szCs w:val="24"/>
        </w:rPr>
        <w:t>principle.</w:t>
      </w:r>
    </w:p>
    <w:p w14:paraId="2A3FA86D" w14:textId="53A5283B" w:rsidR="00F374EA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Integrating DS&amp;AS Roles and Advanced Analytics</w:t>
      </w:r>
    </w:p>
    <w:p w14:paraId="4B9AE208" w14:textId="4141292A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The policy’s administration section (Article 2) enumerates data-related roles (Board, DPO, ICT,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etc.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>)</w:t>
      </w:r>
      <w:r w:rsidR="004D320D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but omits the Data Science &amp; Analytics Section (DS&amp;AS) entirely. We propose amending Article 2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new “2.9”) to formally recognize DS&amp;AS. The DS&amp;AS, led by a Chief Data Scientist, would include data engineers, data analysts, and statisticians. Key duties would include:</w:t>
      </w:r>
    </w:p>
    <w:p w14:paraId="0FDE3A88" w14:textId="3A79FE6F" w:rsidR="00F374EA" w:rsidRPr="004D320D" w:rsidRDefault="00000000" w:rsidP="004D320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Advanced Analytics Guidance: Develop standards for applying machine learning and statistical methods to KIPRE’s data. Ensure compliance with data privacy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privacy-preserving analytics) while enabling research insights.</w:t>
      </w:r>
    </w:p>
    <w:p w14:paraId="5B781CEA" w14:textId="1796E17E" w:rsidR="00F374EA" w:rsidRPr="004D320D" w:rsidRDefault="00000000" w:rsidP="004D320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Data Stewardship: Oversee metadata management and data cataloging. Establish common data models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health research ontologies) for interoperability. Maintain the central research data repository.</w:t>
      </w:r>
    </w:p>
    <w:p w14:paraId="29FA2EFA" w14:textId="0B39E93E" w:rsidR="00F374EA" w:rsidRPr="004D320D" w:rsidRDefault="00000000" w:rsidP="004D320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Policy Liaison: Work with the DPO, ICT, and researchers to implement data governance. Translate policy requirements into technical controls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encryption standards from Art. 8) and </w:t>
      </w:r>
      <w:r w:rsidRPr="004D320D">
        <w:rPr>
          <w:rFonts w:ascii="Arial" w:eastAsia="Times New Roman" w:hAnsi="Arial" w:cs="Arial"/>
          <w:sz w:val="24"/>
          <w:szCs w:val="24"/>
        </w:rPr>
        <w:lastRenderedPageBreak/>
        <w:t>software features.</w:t>
      </w:r>
    </w:p>
    <w:p w14:paraId="7DE8EADC" w14:textId="77777777" w:rsidR="00F374EA" w:rsidRPr="004D320D" w:rsidRDefault="00000000" w:rsidP="004D320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Cross-Functional Support: Assist research teams with study design, data collection protocols, and statistical analysis plans. Ensure that data (especially personal or sensitive data) is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handled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per legal and ethical guidelines.</w:t>
      </w:r>
    </w:p>
    <w:p w14:paraId="30C11735" w14:textId="19C4BE0B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Defining these DS&amp;AS roles fills a critical gap: currently, Article 2’s ICT roles focus on technical infrastructure but do not address data analytics or strategy. By integrating DS&amp;AS, KIPRE ensures that </w:t>
      </w:r>
      <w:r w:rsidR="002276DB" w:rsidRPr="004D320D">
        <w:rPr>
          <w:rFonts w:ascii="Arial" w:eastAsia="Times New Roman" w:hAnsi="Arial" w:cs="Arial"/>
          <w:sz w:val="24"/>
          <w:szCs w:val="24"/>
        </w:rPr>
        <w:t>advanced</w:t>
      </w:r>
      <w:r w:rsidR="004D320D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 xml:space="preserve">analytics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is governed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alongside ICT (making DS&amp;AS a “key complement” to ICT).</w:t>
      </w:r>
    </w:p>
    <w:p w14:paraId="7AA4099E" w14:textId="30DDB782" w:rsidR="00F374EA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Balancing Accessibility and Protection</w:t>
      </w:r>
    </w:p>
    <w:p w14:paraId="0211E98A" w14:textId="5FA10B2D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The policy’s Article 10 (Data Access Rights) and Article 8 (Data Sharing) emphasize transparency and security. Data subjects “have the right to obtain…information” (Art.10</w:t>
      </w:r>
      <w:r w:rsidR="002276DB" w:rsidRPr="004D320D">
        <w:rPr>
          <w:rFonts w:ascii="Arial" w:eastAsia="Times New Roman" w:hAnsi="Arial" w:cs="Arial"/>
          <w:sz w:val="24"/>
          <w:szCs w:val="24"/>
        </w:rPr>
        <w:t>),</w:t>
      </w:r>
      <w:r w:rsidRPr="004D320D">
        <w:rPr>
          <w:rFonts w:ascii="Arial" w:eastAsia="Times New Roman" w:hAnsi="Arial" w:cs="Arial"/>
          <w:sz w:val="24"/>
          <w:szCs w:val="24"/>
        </w:rPr>
        <w:t xml:space="preserve"> yet the policy does not detail how to manage these rights in practice. Similarly, Art. 8 allows sharing with </w:t>
      </w:r>
      <w:r w:rsidR="002276DB" w:rsidRPr="004D320D">
        <w:rPr>
          <w:rFonts w:ascii="Arial" w:eastAsia="Times New Roman" w:hAnsi="Arial" w:cs="Arial"/>
          <w:sz w:val="24"/>
          <w:szCs w:val="24"/>
        </w:rPr>
        <w:t>safeguards but</w:t>
      </w:r>
      <w:r w:rsidRPr="004D320D">
        <w:rPr>
          <w:rFonts w:ascii="Arial" w:eastAsia="Times New Roman" w:hAnsi="Arial" w:cs="Arial"/>
          <w:sz w:val="24"/>
          <w:szCs w:val="24"/>
        </w:rPr>
        <w:t xml:space="preserve"> lacks operational guidance on de-identification or tiered access. DS&amp;AS will implement concrete protocols to balance openness with protection:</w:t>
      </w:r>
    </w:p>
    <w:p w14:paraId="0438FF6B" w14:textId="10FB4B60" w:rsidR="00F374EA" w:rsidRPr="004D320D" w:rsidRDefault="00000000" w:rsidP="004D320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Data Classification Framework: All datasets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labeled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Open, Restricted, Confidential) based on sensitivity. This governs who may request access and what anonymization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is required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>. For example, Restricted health datasets might only be available via secure analysis platforms.</w:t>
      </w:r>
    </w:p>
    <w:p w14:paraId="60784AD9" w14:textId="1B141500" w:rsidR="00F374EA" w:rsidRPr="004D320D" w:rsidRDefault="00000000" w:rsidP="004D320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Tiered Access Controls: Implement role-based access and data enclaves. Sensitive data can </w:t>
      </w:r>
      <w:proofErr w:type="gramStart"/>
      <w:r w:rsidR="002276DB" w:rsidRPr="004D320D">
        <w:rPr>
          <w:rFonts w:ascii="Arial" w:eastAsia="Times New Roman" w:hAnsi="Arial" w:cs="Arial"/>
          <w:sz w:val="24"/>
          <w:szCs w:val="24"/>
        </w:rPr>
        <w:t>be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accessed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only on designated secure servers with logging; de-identified data may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downloaded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under agreement. This operationalizes Art.8.2 encryption/pseudonymization requirement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and Art.11.3’s “need-to-access” principle.</w:t>
      </w:r>
    </w:p>
    <w:p w14:paraId="7A633FC6" w14:textId="7ABA5F45" w:rsidR="00F374EA" w:rsidRPr="004D320D" w:rsidRDefault="00000000" w:rsidP="004D320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Automated Governance Tools: Use data catalogs and APIs to track who accesses which data.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DS&amp;AS will maintain a “Data Governance Dashboard” that monitors access requests, compliance with consent, and detects unusual patterns. This ensures real-time enforcement of Art. 10 rights without manual bottlenecks.</w:t>
      </w:r>
    </w:p>
    <w:p w14:paraId="2D5BF619" w14:textId="78F05DD1" w:rsidR="00F374EA" w:rsidRPr="004D320D" w:rsidRDefault="00000000" w:rsidP="004D320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Consent &amp; Transparency: Enhance mechanisms so data subjects can easily view and manage their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 xml:space="preserve">consents. For example, a web portal may allow research participants to see what data of theirs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is held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>, in line with Art. 10.1, and to update preferences.</w:t>
      </w:r>
    </w:p>
    <w:p w14:paraId="3BFCE29E" w14:textId="616F7EFF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By formalizing these measures, DS&amp;AS addresses the policy’s current vagueness on protecting data while enabling research use. Advanced techniques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differential </w:t>
      </w:r>
      <w:r w:rsidRPr="004D320D">
        <w:rPr>
          <w:rFonts w:ascii="Arial" w:eastAsia="Times New Roman" w:hAnsi="Arial" w:cs="Arial"/>
          <w:sz w:val="24"/>
          <w:szCs w:val="24"/>
        </w:rPr>
        <w:lastRenderedPageBreak/>
        <w:t xml:space="preserve">privacy, federated learning) will also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explored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for analyses on sensitive data, further bridging the access-protection trade-off.</w:t>
      </w:r>
    </w:p>
    <w:p w14:paraId="6F8E9073" w14:textId="3CC50856" w:rsidR="00F374EA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Training and Capacity Building</w:t>
      </w:r>
    </w:p>
    <w:p w14:paraId="4B488FCD" w14:textId="76C5B234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The draft policy tasks the DPO with “</w:t>
      </w:r>
      <w:r w:rsidR="002276DB" w:rsidRPr="004D320D">
        <w:rPr>
          <w:rFonts w:ascii="Arial" w:eastAsia="Times New Roman" w:hAnsi="Arial" w:cs="Arial"/>
          <w:sz w:val="24"/>
          <w:szCs w:val="24"/>
        </w:rPr>
        <w:t>facilitate</w:t>
      </w:r>
      <w:r w:rsidRPr="004D320D">
        <w:rPr>
          <w:rFonts w:ascii="Arial" w:eastAsia="Times New Roman" w:hAnsi="Arial" w:cs="Arial"/>
          <w:sz w:val="24"/>
          <w:szCs w:val="24"/>
        </w:rPr>
        <w:t>[ing] capacity building of staff</w:t>
      </w:r>
      <w:r w:rsidR="002276DB" w:rsidRPr="004D320D">
        <w:rPr>
          <w:rFonts w:ascii="Arial" w:eastAsia="Times New Roman" w:hAnsi="Arial" w:cs="Arial"/>
          <w:sz w:val="24"/>
          <w:szCs w:val="24"/>
        </w:rPr>
        <w:t>”</w:t>
      </w:r>
      <w:r w:rsidR="002276DB" w:rsidRPr="004D320D">
        <w:rPr>
          <w:rFonts w:ascii="Arial" w:eastAsia="Times New Roman" w:hAnsi="Arial" w:cs="Arial"/>
          <w:sz w:val="24"/>
          <w:szCs w:val="24"/>
        </w:rPr>
        <w:tab/>
        <w:t xml:space="preserve"> but</w:t>
      </w:r>
      <w:r w:rsidRPr="004D320D">
        <w:rPr>
          <w:rFonts w:ascii="Arial" w:eastAsia="Times New Roman" w:hAnsi="Arial" w:cs="Arial"/>
          <w:sz w:val="24"/>
          <w:szCs w:val="24"/>
        </w:rPr>
        <w:t xml:space="preserve"> provides no details on scope or frequency. We recommend a comprehensive DS&amp;AS-led training program:</w:t>
      </w:r>
    </w:p>
    <w:p w14:paraId="39C18769" w14:textId="68318DE4" w:rsidR="00F374EA" w:rsidRPr="004D320D" w:rsidRDefault="00000000" w:rsidP="004D320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Data Governance Training: Regular workshops for all staff on KIPRE’s data policies, legal requirements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Kenya’s DPA 2019), and ethical data use. Training will cover subjects from data privacy basics to advanced topics like machine learning ethics.</w:t>
      </w:r>
    </w:p>
    <w:p w14:paraId="50749C1D" w14:textId="77777777" w:rsidR="00F374EA" w:rsidRPr="004D320D" w:rsidRDefault="00000000" w:rsidP="004D320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Technical Skills Development: Offer courses in statistical programming, database management, and cybersecurity best practices. DS&amp;AS analysts can mentor researchers on data analysis tools (R, Python, SQL) and reproducible research workflows.</w:t>
      </w:r>
    </w:p>
    <w:p w14:paraId="2495DDA0" w14:textId="3BE29E32" w:rsidR="00F374EA" w:rsidRPr="004D320D" w:rsidRDefault="00000000" w:rsidP="004D320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Onboarding &amp; Refresher Courses: New hires will receive mandatory data policy and tools training. Existing staff will attend annual refreshers and compliance quizzes to reinforce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understanding.</w:t>
      </w:r>
    </w:p>
    <w:p w14:paraId="24641BD8" w14:textId="37F23833" w:rsidR="00F374EA" w:rsidRPr="004D320D" w:rsidRDefault="00000000" w:rsidP="004D320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Certifications and Incentives: Encourage relevant certifications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Certified Data Privacy Professional) and create a recognition program for “Data Champions” who exemplify best practices.</w:t>
      </w:r>
    </w:p>
    <w:p w14:paraId="2F8CE358" w14:textId="36945166" w:rsidR="00F374EA" w:rsidRPr="004D320D" w:rsidRDefault="00000000" w:rsidP="004D320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Partnerships and E-Learning: Collaborate with academic partners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local universities) for joint </w:t>
      </w:r>
      <w:r w:rsidR="002276DB" w:rsidRPr="004D320D">
        <w:rPr>
          <w:rFonts w:ascii="Arial" w:eastAsia="Times New Roman" w:hAnsi="Arial" w:cs="Arial"/>
          <w:sz w:val="24"/>
          <w:szCs w:val="24"/>
        </w:rPr>
        <w:t>training and</w:t>
      </w:r>
      <w:r w:rsidRPr="004D320D">
        <w:rPr>
          <w:rFonts w:ascii="Arial" w:eastAsia="Times New Roman" w:hAnsi="Arial" w:cs="Arial"/>
          <w:sz w:val="24"/>
          <w:szCs w:val="24"/>
        </w:rPr>
        <w:t xml:space="preserve"> provide access to online modules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Coursera or WHO data courses) for continuous learning.</w:t>
      </w:r>
    </w:p>
    <w:p w14:paraId="4AFA7172" w14:textId="1F6C4505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These programs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tracked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by DS&amp;AS to measure effectiveness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="002276DB" w:rsidRPr="004D320D">
        <w:rPr>
          <w:rFonts w:ascii="Arial" w:eastAsia="Times New Roman" w:hAnsi="Arial" w:cs="Arial"/>
          <w:sz w:val="24"/>
          <w:szCs w:val="24"/>
        </w:rPr>
        <w:t>pre-,</w:t>
      </w:r>
      <w:r w:rsidRPr="004D320D">
        <w:rPr>
          <w:rFonts w:ascii="Arial" w:eastAsia="Times New Roman" w:hAnsi="Arial" w:cs="Arial"/>
          <w:sz w:val="24"/>
          <w:szCs w:val="24"/>
        </w:rPr>
        <w:t xml:space="preserve"> and post-training assessments). Involving DS&amp;AS in training ensures a data-driven approach to capacity building, fulfilling Art.2.3’s intent</w:t>
      </w:r>
      <w:r w:rsidRPr="004D320D">
        <w:rPr>
          <w:rFonts w:ascii="Arial" w:eastAsia="Times New Roman" w:hAnsi="Arial" w:cs="Arial"/>
          <w:sz w:val="24"/>
          <w:szCs w:val="24"/>
        </w:rPr>
        <w:tab/>
        <w:t>with more structure, and addressing the absence of explicit training mandates in Article 15.</w:t>
      </w:r>
    </w:p>
    <w:p w14:paraId="04DF1163" w14:textId="3A40B4CD" w:rsidR="00F374EA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Enforcement and Monitoring Structures</w:t>
      </w:r>
    </w:p>
    <w:p w14:paraId="7CAAB6D0" w14:textId="77777777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Currently the policy designates only the Internal Audit Unit and the DPO for oversight</w:t>
      </w:r>
      <w:r w:rsidRPr="004D320D">
        <w:rPr>
          <w:rFonts w:ascii="Arial" w:eastAsia="Times New Roman" w:hAnsi="Arial" w:cs="Arial"/>
          <w:sz w:val="24"/>
          <w:szCs w:val="24"/>
        </w:rPr>
        <w:tab/>
        <w:t>. To strengthen enforcement, DS&amp;AS will collaborate in the following:</w:t>
      </w:r>
    </w:p>
    <w:p w14:paraId="3C343E14" w14:textId="77777777" w:rsidR="00F374EA" w:rsidRPr="004D320D" w:rsidRDefault="00000000" w:rsidP="004D320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Data Governance Committee (DGC): Establish a standing committee (including the DPO, ICT lead, DS&amp;AS head, and external advisor) to oversee policy compliance. The DGC will review audit </w:t>
      </w:r>
      <w:r w:rsidRPr="004D320D">
        <w:rPr>
          <w:rFonts w:ascii="Arial" w:eastAsia="Times New Roman" w:hAnsi="Arial" w:cs="Arial"/>
          <w:sz w:val="24"/>
          <w:szCs w:val="24"/>
        </w:rPr>
        <w:lastRenderedPageBreak/>
        <w:t>findings, approve data sharing requests above a sensitivity threshold, and handle escalations.</w:t>
      </w:r>
    </w:p>
    <w:p w14:paraId="3B3E4A20" w14:textId="78EE51D1" w:rsidR="00F374EA" w:rsidRPr="004D320D" w:rsidRDefault="00000000" w:rsidP="004D320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Enhanced Audits: In addition to biannual IT audits by Internal Audit</w:t>
      </w:r>
      <w:r w:rsidRPr="004D320D">
        <w:rPr>
          <w:rFonts w:ascii="Arial" w:eastAsia="Times New Roman" w:hAnsi="Arial" w:cs="Arial"/>
          <w:sz w:val="24"/>
          <w:szCs w:val="24"/>
        </w:rPr>
        <w:tab/>
        <w:t>, conduct specialized Data Audits led by DS&amp;AS. These will examine data pipelines and analytics processes for compliance with standards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encryption at rest, access logs).</w:t>
      </w:r>
    </w:p>
    <w:p w14:paraId="5FAE84B1" w14:textId="38A95552" w:rsidR="00F374EA" w:rsidRPr="004D320D" w:rsidRDefault="00000000" w:rsidP="004D320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KPIs and Dashboards: Define key performance indicators (KPIs) for data governance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breach incident rates, data request turnaround time, data quality scores). DS&amp;AS will maintain dashboards (internal metrics portals) to track these KPIs in real time, alerting leadership to anomalies.</w:t>
      </w:r>
    </w:p>
    <w:p w14:paraId="452556B0" w14:textId="3CDFD508" w:rsidR="00F374EA" w:rsidRPr="004D320D" w:rsidRDefault="00000000" w:rsidP="004D320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Reporting Lines and Consequences: Clarify that serious data breaches or misuse </w:t>
      </w:r>
      <w:r w:rsidR="002276DB" w:rsidRPr="004D320D">
        <w:rPr>
          <w:rFonts w:ascii="Arial" w:eastAsia="Times New Roman" w:hAnsi="Arial" w:cs="Arial"/>
          <w:sz w:val="24"/>
          <w:szCs w:val="24"/>
        </w:rPr>
        <w:t>led</w:t>
      </w:r>
      <w:r w:rsidRPr="004D320D">
        <w:rPr>
          <w:rFonts w:ascii="Arial" w:eastAsia="Times New Roman" w:hAnsi="Arial" w:cs="Arial"/>
          <w:sz w:val="24"/>
          <w:szCs w:val="24"/>
        </w:rPr>
        <w:t xml:space="preserve"> to formal review by the DGC, with sanctions per Art.5.2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 xml:space="preserve">and possible legal action. Responsibilities and consequences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documented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so that “knowingly circumventing safeguards” carries accountability.</w:t>
      </w:r>
    </w:p>
    <w:p w14:paraId="4F78416C" w14:textId="7D69BA47" w:rsidR="00F374EA" w:rsidRPr="004D320D" w:rsidRDefault="00000000" w:rsidP="004D320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External Audits and Accreditation: Periodically invite external experts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Ministry of ICT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assessors) to review KIPRE’s data management. Seek compliance certifications where possible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ISO 27001), reinforcing trust beyond the DPO’s annual review</w:t>
      </w:r>
      <w:r w:rsidRPr="004D320D">
        <w:rPr>
          <w:rFonts w:ascii="Arial" w:eastAsia="Times New Roman" w:hAnsi="Arial" w:cs="Arial"/>
          <w:sz w:val="24"/>
          <w:szCs w:val="24"/>
        </w:rPr>
        <w:tab/>
        <w:t>.</w:t>
      </w:r>
    </w:p>
    <w:p w14:paraId="4A7A1F4E" w14:textId="2314F8CC" w:rsidR="00E75377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By creating these structures, DS&amp;AS expands monitoring beyond the DPO-centric model. The DGC ensures collective oversight, and metrics-driven monitoring addresses Art.15’s call for review   with concrete data.</w:t>
      </w:r>
    </w:p>
    <w:p w14:paraId="0FF58A5A" w14:textId="77777777" w:rsidR="00E75377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Aligning ICT Infrastructure with Policy</w:t>
      </w:r>
    </w:p>
    <w:p w14:paraId="590C27BE" w14:textId="7E7CAC93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The policy’s ICT provisions (Art.2.4–2.5) task ICT with “secure data from loss” and developing </w:t>
      </w:r>
      <w:r w:rsidR="002276DB" w:rsidRPr="004D320D">
        <w:rPr>
          <w:rFonts w:ascii="Arial" w:eastAsia="Times New Roman" w:hAnsi="Arial" w:cs="Arial"/>
          <w:sz w:val="24"/>
          <w:szCs w:val="24"/>
        </w:rPr>
        <w:t>databases</w:t>
      </w:r>
      <w:r w:rsidRPr="004D320D">
        <w:rPr>
          <w:rFonts w:ascii="Arial" w:eastAsia="Times New Roman" w:hAnsi="Arial" w:cs="Arial"/>
          <w:sz w:val="24"/>
          <w:szCs w:val="24"/>
        </w:rPr>
        <w:t xml:space="preserve">, and Article 11 cites the ICT Security Policy’s </w:t>
      </w:r>
      <w:r w:rsidR="002276DB" w:rsidRPr="004D320D">
        <w:rPr>
          <w:rFonts w:ascii="Arial" w:eastAsia="Times New Roman" w:hAnsi="Arial" w:cs="Arial"/>
          <w:sz w:val="24"/>
          <w:szCs w:val="24"/>
        </w:rPr>
        <w:t>role.</w:t>
      </w:r>
      <w:r w:rsidRPr="004D320D">
        <w:rPr>
          <w:rFonts w:ascii="Arial" w:eastAsia="Times New Roman" w:hAnsi="Arial" w:cs="Arial"/>
          <w:sz w:val="24"/>
          <w:szCs w:val="24"/>
        </w:rPr>
        <w:t xml:space="preserve"> However, the link between KIPRE’s infrastructure and policy enforcement is weak. DS&amp;AS will work closely with ICT to ensure the technical environment supports data governance:</w:t>
      </w:r>
    </w:p>
    <w:p w14:paraId="1B0B00CF" w14:textId="02621E2B" w:rsidR="00F374EA" w:rsidRPr="004D320D" w:rsidRDefault="00000000" w:rsidP="004D320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Data Architecture &amp; Platforms: Implement a centralized data warehouse/repository that enforces access controls and audit logging at the system level. This could be a secure cloud or </w:t>
      </w:r>
      <w:r w:rsidR="002276DB" w:rsidRPr="004D320D">
        <w:rPr>
          <w:rFonts w:ascii="Arial" w:eastAsia="Times New Roman" w:hAnsi="Arial" w:cs="Arial"/>
          <w:sz w:val="24"/>
          <w:szCs w:val="24"/>
        </w:rPr>
        <w:t>on-premises</w:t>
      </w:r>
      <w:r w:rsidRPr="004D320D">
        <w:rPr>
          <w:rFonts w:ascii="Arial" w:eastAsia="Times New Roman" w:hAnsi="Arial" w:cs="Arial"/>
          <w:sz w:val="24"/>
          <w:szCs w:val="24"/>
        </w:rPr>
        <w:t xml:space="preserve"> data platform that integrates with analytics tools. ICT will provision the infrastructure (servers, networks) while DS&amp;AS defines requirements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encryption, redundancy) aligned with Art.11’s secure handling</w:t>
      </w:r>
      <w:r w:rsidRPr="004D320D">
        <w:rPr>
          <w:rFonts w:ascii="Arial" w:eastAsia="Times New Roman" w:hAnsi="Arial" w:cs="Arial"/>
          <w:sz w:val="24"/>
          <w:szCs w:val="24"/>
        </w:rPr>
        <w:tab/>
      </w:r>
      <w:r w:rsidRPr="004D320D">
        <w:rPr>
          <w:rFonts w:ascii="Arial" w:eastAsia="Times New Roman" w:hAnsi="Arial" w:cs="Arial"/>
          <w:sz w:val="24"/>
          <w:szCs w:val="24"/>
        </w:rPr>
        <w:lastRenderedPageBreak/>
        <w:t>.</w:t>
      </w:r>
    </w:p>
    <w:p w14:paraId="51212059" w14:textId="00113BC9" w:rsidR="00F374EA" w:rsidRPr="004D320D" w:rsidRDefault="00000000" w:rsidP="004D320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Interoperability Standards: Adopt open standards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HL7 FHIR for health data, CDISC for clinical studies) so that data collected by different departments can interoperate. DS&amp;AS will maintain metadata schemas and ensure all new systems comply with these standards, reflecting the policy’s aim for “interoperability”</w:t>
      </w:r>
      <w:r w:rsidRPr="004D320D">
        <w:rPr>
          <w:rFonts w:ascii="Arial" w:eastAsia="Times New Roman" w:hAnsi="Arial" w:cs="Arial"/>
          <w:sz w:val="24"/>
          <w:szCs w:val="24"/>
        </w:rPr>
        <w:tab/>
        <w:t>.</w:t>
      </w:r>
    </w:p>
    <w:p w14:paraId="5F392F91" w14:textId="0C359CE0" w:rsidR="00F374EA" w:rsidRPr="004D320D" w:rsidRDefault="00000000" w:rsidP="004D320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Secure Access Systems: Introduce multi-factor authentication and VPN access for remote </w:t>
      </w:r>
      <w:r w:rsidR="002276DB" w:rsidRPr="004D320D">
        <w:rPr>
          <w:rFonts w:ascii="Arial" w:eastAsia="Times New Roman" w:hAnsi="Arial" w:cs="Arial"/>
          <w:sz w:val="24"/>
          <w:szCs w:val="24"/>
        </w:rPr>
        <w:t>data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work, beyond the base “need-to-access” rule</w:t>
      </w:r>
      <w:r w:rsidRPr="004D320D">
        <w:rPr>
          <w:rFonts w:ascii="Arial" w:eastAsia="Times New Roman" w:hAnsi="Arial" w:cs="Arial"/>
          <w:sz w:val="24"/>
          <w:szCs w:val="24"/>
        </w:rPr>
        <w:tab/>
        <w:t>. Develop a secure data portal (HTTPS/SSL, per the illustration) for internal and external queries – enabling Art.10’s electronic copy provision</w:t>
      </w:r>
      <w:r w:rsid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in a protected manner.</w:t>
      </w:r>
    </w:p>
    <w:p w14:paraId="28C21C47" w14:textId="6D4A88EE" w:rsidR="00F374EA" w:rsidRPr="004D320D" w:rsidRDefault="00000000" w:rsidP="004D320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Monitoring and Logging: ICT systems will generate detailed logs of data access, which DS&amp;AS </w:t>
      </w:r>
      <w:r w:rsidR="002276DB" w:rsidRPr="004D320D">
        <w:rPr>
          <w:rFonts w:ascii="Arial" w:eastAsia="Times New Roman" w:hAnsi="Arial" w:cs="Arial"/>
          <w:sz w:val="24"/>
          <w:szCs w:val="24"/>
        </w:rPr>
        <w:t>will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analyze for irregularities. This aligns with Art.11.1’s emphasis on “secure handling”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>by adding visibility into data usage.</w:t>
      </w:r>
    </w:p>
    <w:p w14:paraId="1F476072" w14:textId="7FCFFF75" w:rsidR="00F374EA" w:rsidRPr="004D320D" w:rsidRDefault="00000000" w:rsidP="004D320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Scalability and Updates: Design infrastructure with scalability (to support growth in genomic or</w:t>
      </w:r>
      <w:r w:rsidR="00E75377" w:rsidRPr="004D320D">
        <w:rPr>
          <w:rFonts w:ascii="Arial" w:eastAsia="Times New Roman" w:hAnsi="Arial" w:cs="Arial"/>
          <w:sz w:val="24"/>
          <w:szCs w:val="24"/>
        </w:rPr>
        <w:t xml:space="preserve"> </w:t>
      </w:r>
      <w:r w:rsidRPr="004D320D">
        <w:rPr>
          <w:rFonts w:ascii="Arial" w:eastAsia="Times New Roman" w:hAnsi="Arial" w:cs="Arial"/>
          <w:sz w:val="24"/>
          <w:szCs w:val="24"/>
        </w:rPr>
        <w:t xml:space="preserve">imaging data) and automatic security updates. Regular penetration testing and patch management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scheduled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to enforce the ICT security policies referenced in Article 11</w:t>
      </w:r>
      <w:r w:rsidR="004D320D">
        <w:rPr>
          <w:rFonts w:ascii="Arial" w:eastAsia="Times New Roman" w:hAnsi="Arial" w:cs="Arial"/>
          <w:sz w:val="24"/>
          <w:szCs w:val="24"/>
        </w:rPr>
        <w:t>.</w:t>
      </w:r>
      <w:r w:rsidRPr="004D320D">
        <w:rPr>
          <w:rFonts w:ascii="Arial" w:eastAsia="Times New Roman" w:hAnsi="Arial" w:cs="Arial"/>
          <w:sz w:val="24"/>
          <w:szCs w:val="24"/>
        </w:rPr>
        <w:tab/>
        <w:t>.</w:t>
      </w:r>
    </w:p>
    <w:p w14:paraId="039CAE8F" w14:textId="77EEF1C9" w:rsidR="00E75377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This alignment ensures that technical measures (networks, databases, security protocols) are not just ICT deliverables, but also tools for enforcing the data policy. DS&amp;AS will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act as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the bridge, translating policy requirements into infrastructure specifications and ensuring new ICT initiatives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a data lake project) incorporate policy controls from the design phase.</w:t>
      </w:r>
    </w:p>
    <w:p w14:paraId="39EED454" w14:textId="78ED9E29" w:rsidR="00F374EA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External Engagement and Dispute Resolution</w:t>
      </w:r>
    </w:p>
    <w:p w14:paraId="33098F5D" w14:textId="4F30385F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Article 14 governs dispute resolution but is internally focused, assigning complaints to the DPO and Director </w:t>
      </w:r>
      <w:r w:rsidR="002276DB" w:rsidRPr="004D320D">
        <w:rPr>
          <w:rFonts w:ascii="Arial" w:eastAsia="Times New Roman" w:hAnsi="Arial" w:cs="Arial"/>
          <w:sz w:val="24"/>
          <w:szCs w:val="24"/>
        </w:rPr>
        <w:t>General.</w:t>
      </w:r>
      <w:r w:rsidRPr="004D320D">
        <w:rPr>
          <w:rFonts w:ascii="Arial" w:eastAsia="Times New Roman" w:hAnsi="Arial" w:cs="Arial"/>
          <w:sz w:val="24"/>
          <w:szCs w:val="24"/>
        </w:rPr>
        <w:t xml:space="preserve"> To enhance stakeholder trust and transparency, DS&amp;AS will expand engagement with external parties:</w:t>
      </w:r>
    </w:p>
    <w:p w14:paraId="10CDB476" w14:textId="2CE16690" w:rsidR="00F374EA" w:rsidRPr="004D320D" w:rsidRDefault="00000000" w:rsidP="004D320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Liaison for Data Collaborations: Appoint DS&amp;AS staff as official contacts for external researchers or public health agencies requesting data. They will vet requests against policy criteria (ensuring “adequate safeguards”) and negotiate Data Use </w:t>
      </w:r>
      <w:r w:rsidRPr="004D320D">
        <w:rPr>
          <w:rFonts w:ascii="Arial" w:eastAsia="Times New Roman" w:hAnsi="Arial" w:cs="Arial"/>
          <w:sz w:val="24"/>
          <w:szCs w:val="24"/>
        </w:rPr>
        <w:lastRenderedPageBreak/>
        <w:t>Agreements.</w:t>
      </w:r>
    </w:p>
    <w:p w14:paraId="3E90C5E5" w14:textId="5E286825" w:rsidR="00F374EA" w:rsidRPr="004D320D" w:rsidRDefault="00000000" w:rsidP="004D320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Public Data Sharing: Develop procedures for publishing de-identified datasets in open repositories (in line with the commitment to Open Access). This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proactive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sharing enhances transparency and scientific impact.</w:t>
      </w:r>
    </w:p>
    <w:p w14:paraId="5304B06A" w14:textId="5247F745" w:rsidR="00F374EA" w:rsidRPr="004D320D" w:rsidRDefault="00000000" w:rsidP="004D320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Advisory Panels: Include external experts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ethicists, community representatives) in the Data Governance Committee or ad hoc review panels. This extends Art.14’s resolution mechanism beyond internal actors and provides neutral arbitration for disputes.</w:t>
      </w:r>
    </w:p>
    <w:p w14:paraId="75F0C49F" w14:textId="716A4A87" w:rsidR="00F374EA" w:rsidRPr="004D320D" w:rsidRDefault="00000000" w:rsidP="004D320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Conflict Resolution Channels: Establish clear escalation paths for disagreements over data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a dispute review board separate from the DPO). Document procedures for arbitration that reference both KIPRE policy and national ICT dispute frameworks.</w:t>
      </w:r>
    </w:p>
    <w:p w14:paraId="30B3FA1B" w14:textId="77777777" w:rsidR="00F374EA" w:rsidRPr="004D320D" w:rsidRDefault="00000000" w:rsidP="004D320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Stakeholder Feedback: Regularly survey internal and external stakeholders (researchers, data subjects) about the policy’s effectiveness. Use feedback to adjust practices between formal 3-year reviews (addressing Article 17’s rigidity).</w:t>
      </w:r>
    </w:p>
    <w:p w14:paraId="107C62C8" w14:textId="49E96E6B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By codifying these engagement steps, DS&amp;AS ensures that KIPRE’s data policy operates transparently with its partners and the public. This fills the gap in Art.14, which currently only specifies internal reporting and DPO-led </w:t>
      </w:r>
      <w:r w:rsidR="002276DB" w:rsidRPr="004D320D">
        <w:rPr>
          <w:rFonts w:ascii="Arial" w:eastAsia="Times New Roman" w:hAnsi="Arial" w:cs="Arial"/>
          <w:sz w:val="24"/>
          <w:szCs w:val="24"/>
        </w:rPr>
        <w:t>inquiries and</w:t>
      </w:r>
      <w:r w:rsidRPr="004D320D">
        <w:rPr>
          <w:rFonts w:ascii="Arial" w:eastAsia="Times New Roman" w:hAnsi="Arial" w:cs="Arial"/>
          <w:sz w:val="24"/>
          <w:szCs w:val="24"/>
        </w:rPr>
        <w:t xml:space="preserve"> reinforces KIPRE’s mandate to disseminate knowledge safely.</w:t>
      </w:r>
    </w:p>
    <w:p w14:paraId="0EE639B2" w14:textId="612813AA" w:rsidR="00F374EA" w:rsidRPr="004D320D" w:rsidRDefault="00000000" w:rsidP="004D320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Adaptive Policy Review Mechanisms</w:t>
      </w:r>
    </w:p>
    <w:p w14:paraId="31402D7E" w14:textId="52A1812F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Article 17 mandates a three-year review cycle (with annual data updates</w:t>
      </w:r>
      <w:r w:rsidR="002276DB" w:rsidRPr="004D320D">
        <w:rPr>
          <w:rFonts w:ascii="Arial" w:eastAsia="Times New Roman" w:hAnsi="Arial" w:cs="Arial"/>
          <w:sz w:val="24"/>
          <w:szCs w:val="24"/>
        </w:rPr>
        <w:t>)</w:t>
      </w:r>
      <w:r w:rsidR="002276DB" w:rsidRPr="004D320D">
        <w:rPr>
          <w:rFonts w:ascii="Arial" w:eastAsia="Times New Roman" w:hAnsi="Arial" w:cs="Arial"/>
          <w:sz w:val="24"/>
          <w:szCs w:val="24"/>
        </w:rPr>
        <w:tab/>
        <w:t xml:space="preserve"> but</w:t>
      </w:r>
      <w:r w:rsidRPr="004D320D">
        <w:rPr>
          <w:rFonts w:ascii="Arial" w:eastAsia="Times New Roman" w:hAnsi="Arial" w:cs="Arial"/>
          <w:sz w:val="24"/>
          <w:szCs w:val="24"/>
        </w:rPr>
        <w:t xml:space="preserve"> does not specify interim adjustments. DS&amp;AS will institute a more dynamic review process:</w:t>
      </w:r>
    </w:p>
    <w:p w14:paraId="7B00D987" w14:textId="77777777" w:rsidR="00E75377" w:rsidRPr="004D320D" w:rsidRDefault="00000000" w:rsidP="004D320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Continuous Monitoring: Using the enforcement dashboards (Sec.5), DS&amp;AS will track policy-relevant metrics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number of breach incidents, data request backlogs, training completion rates). Significant deviations (such as new threat patterns) will trigger immediate policy evaluations.</w:t>
      </w:r>
    </w:p>
    <w:p w14:paraId="7054FBA6" w14:textId="77777777" w:rsidR="00E75377" w:rsidRPr="004D320D" w:rsidRDefault="00000000" w:rsidP="004D320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Annual Policy Impact Report: Each year, DS&amp;AS and the DPO will produce a report on policy effectiveness. This report will recommend any needed amendments in procedures or guidance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new tech standards), rather than waiting three years.</w:t>
      </w:r>
    </w:p>
    <w:p w14:paraId="1ED87804" w14:textId="012E829A" w:rsidR="00F374EA" w:rsidRPr="004D320D" w:rsidRDefault="00000000" w:rsidP="004D320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Benchmarking and Best Practices: DS&amp;AS will scan emerging data governance best practices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WHO guidelines, new DPA regulations) and propose updates. If, for example, new analytic methods raise privacy concerns, the policy can </w:t>
      </w:r>
      <w:proofErr w:type="gramStart"/>
      <w:r w:rsidRPr="004D320D">
        <w:rPr>
          <w:rFonts w:ascii="Arial" w:eastAsia="Times New Roman" w:hAnsi="Arial" w:cs="Arial"/>
          <w:sz w:val="24"/>
          <w:szCs w:val="24"/>
        </w:rPr>
        <w:t>be updated</w:t>
      </w:r>
      <w:proofErr w:type="gramEnd"/>
      <w:r w:rsidRPr="004D320D">
        <w:rPr>
          <w:rFonts w:ascii="Arial" w:eastAsia="Times New Roman" w:hAnsi="Arial" w:cs="Arial"/>
          <w:sz w:val="24"/>
          <w:szCs w:val="24"/>
        </w:rPr>
        <w:t xml:space="preserve"> rapidly rather than on a strict timetable.</w:t>
      </w:r>
    </w:p>
    <w:p w14:paraId="7180E7EC" w14:textId="77777777" w:rsidR="00F374EA" w:rsidRPr="004D320D" w:rsidRDefault="00000000" w:rsidP="004D320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lastRenderedPageBreak/>
        <w:t>Stakeholder Review Sessions: Host annual meetings where staff and external partners review how well the policy is working. Gather suggestions for improvement to feed into the next formal review.</w:t>
      </w:r>
    </w:p>
    <w:p w14:paraId="794E4AF5" w14:textId="4369675E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This adaptive cycle ensures the policy evolves with KIPRE’s data needs and technological advances. It supplements Article 17’s fixed </w:t>
      </w:r>
      <w:r w:rsidR="002276DB" w:rsidRPr="004D320D">
        <w:rPr>
          <w:rFonts w:ascii="Arial" w:eastAsia="Times New Roman" w:hAnsi="Arial" w:cs="Arial"/>
          <w:sz w:val="24"/>
          <w:szCs w:val="24"/>
        </w:rPr>
        <w:t>window with</w:t>
      </w:r>
      <w:r w:rsidRPr="004D320D">
        <w:rPr>
          <w:rFonts w:ascii="Arial" w:eastAsia="Times New Roman" w:hAnsi="Arial" w:cs="Arial"/>
          <w:sz w:val="24"/>
          <w:szCs w:val="24"/>
        </w:rPr>
        <w:t xml:space="preserve"> ongoing oversight.</w:t>
      </w:r>
    </w:p>
    <w:p w14:paraId="293242CB" w14:textId="77777777" w:rsidR="004D320D" w:rsidRDefault="004D320D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 xml:space="preserve">    </w:t>
      </w:r>
    </w:p>
    <w:p w14:paraId="160A1D86" w14:textId="77777777" w:rsidR="004D320D" w:rsidRDefault="004D320D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1CA7EC2E" w14:textId="08393746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right="119"/>
        <w:jc w:val="both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Conclusion</w:t>
      </w:r>
    </w:p>
    <w:p w14:paraId="711C5169" w14:textId="4DC10127" w:rsidR="00F374EA" w:rsidRPr="004D320D" w:rsidRDefault="00000000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rPr>
          <w:rFonts w:ascii="Arial" w:eastAsia="Times New Roman" w:hAnsi="Arial" w:cs="Arial"/>
          <w:sz w:val="24"/>
          <w:szCs w:val="24"/>
        </w:rPr>
      </w:pPr>
      <w:r w:rsidRPr="004D320D">
        <w:rPr>
          <w:rFonts w:ascii="Arial" w:eastAsia="Times New Roman" w:hAnsi="Arial" w:cs="Arial"/>
          <w:sz w:val="24"/>
          <w:szCs w:val="24"/>
        </w:rPr>
        <w:t>By explicitly addressing the draft policy’s gaps, these DS&amp;AS-driven enhancements ensure robust data governance at KIPRE. Clear implementation workflows and defined DS&amp;AS responsibilities make data sharing, security, and quality processes transparent and actionable. Expanded training, monitoring, and stakeholder engagement fill the policy’s silences in Articles 2.3, 2.6, 8–10, 14–15</w:t>
      </w:r>
      <w:r w:rsidR="004D320D" w:rsidRPr="004D320D">
        <w:rPr>
          <w:rFonts w:ascii="Arial" w:eastAsia="Times New Roman" w:hAnsi="Arial" w:cs="Arial"/>
          <w:sz w:val="24"/>
          <w:szCs w:val="24"/>
        </w:rPr>
        <w:t>.</w:t>
      </w:r>
      <w:r w:rsidRPr="004D320D">
        <w:rPr>
          <w:rFonts w:ascii="Arial" w:eastAsia="Times New Roman" w:hAnsi="Arial" w:cs="Arial"/>
          <w:sz w:val="24"/>
          <w:szCs w:val="24"/>
        </w:rPr>
        <w:tab/>
        <w:t>. Together with ICT, DS&amp;AS will implement modern infrastructure and analytics (</w:t>
      </w:r>
      <w:r w:rsidR="002276DB" w:rsidRPr="004D320D">
        <w:rPr>
          <w:rFonts w:ascii="Arial" w:eastAsia="Times New Roman" w:hAnsi="Arial" w:cs="Arial"/>
          <w:sz w:val="24"/>
          <w:szCs w:val="24"/>
        </w:rPr>
        <w:t>e.g.,</w:t>
      </w:r>
      <w:r w:rsidRPr="004D320D">
        <w:rPr>
          <w:rFonts w:ascii="Arial" w:eastAsia="Times New Roman" w:hAnsi="Arial" w:cs="Arial"/>
          <w:sz w:val="24"/>
          <w:szCs w:val="24"/>
        </w:rPr>
        <w:t xml:space="preserve"> secure data platforms, interoperable standards) that align practice with policy. This comprehensive approach leverages data science as a key complement to ICT, ensuring KIPRE fulfills its mandate for data-driven research and public health innovation.</w:t>
      </w:r>
    </w:p>
    <w:p w14:paraId="666C2BE4" w14:textId="77777777" w:rsidR="00F374EA" w:rsidRPr="004D320D" w:rsidRDefault="00F374EA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5EDCC8AE" w14:textId="77777777" w:rsidR="00F374EA" w:rsidRPr="004D320D" w:rsidRDefault="00F374EA" w:rsidP="004D320D">
      <w:pPr>
        <w:pBdr>
          <w:top w:val="nil"/>
          <w:left w:val="nil"/>
          <w:bottom w:val="nil"/>
          <w:right w:val="nil"/>
          <w:between w:val="nil"/>
        </w:pBdr>
        <w:tabs>
          <w:tab w:val="left" w:pos="9191"/>
        </w:tabs>
        <w:spacing w:line="297" w:lineRule="auto"/>
        <w:ind w:left="120" w:right="119"/>
        <w:jc w:val="both"/>
        <w:rPr>
          <w:rFonts w:ascii="Arial" w:eastAsia="Times New Roman" w:hAnsi="Arial" w:cs="Arial"/>
          <w:sz w:val="24"/>
          <w:szCs w:val="24"/>
        </w:rPr>
      </w:pPr>
    </w:p>
    <w:p w14:paraId="570BA8E8" w14:textId="77777777" w:rsidR="00F374EA" w:rsidRPr="004D320D" w:rsidRDefault="00F374EA" w:rsidP="004D320D">
      <w:pPr>
        <w:ind w:left="120"/>
        <w:jc w:val="both"/>
        <w:rPr>
          <w:rFonts w:ascii="Arial" w:hAnsi="Arial" w:cs="Arial"/>
          <w:sz w:val="24"/>
          <w:szCs w:val="24"/>
        </w:rPr>
      </w:pPr>
    </w:p>
    <w:sectPr w:rsidR="00F374EA" w:rsidRPr="004D320D">
      <w:footerReference w:type="default" r:id="rId7"/>
      <w:pgSz w:w="12240" w:h="15840"/>
      <w:pgMar w:top="1560" w:right="1440" w:bottom="840" w:left="1440" w:header="0" w:footer="64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B8BBB" w14:textId="77777777" w:rsidR="00D8373E" w:rsidRDefault="00D8373E">
      <w:r>
        <w:separator/>
      </w:r>
    </w:p>
  </w:endnote>
  <w:endnote w:type="continuationSeparator" w:id="0">
    <w:p w14:paraId="75769F4B" w14:textId="77777777" w:rsidR="00D8373E" w:rsidRDefault="00D83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E294C0E-761D-4A58-9AA8-8F3B6839C497}"/>
    <w:embedBold r:id="rId2" w:fontKey="{C673EA41-C84C-4054-8CE1-679D7D014E6E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53999BB1-6FE9-4DB4-AAE5-3568EC3122F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9BF4C76-DEE0-4A06-85AF-D77DB4BE76B9}"/>
    <w:embedItalic r:id="rId5" w:fontKey="{563ACF22-1880-4D6B-ABFC-D29B5899F7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6" w:fontKey="{8D62EB3D-D6C3-48F9-B255-B4560BEFBE5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A56BE00-90D7-4891-A244-1D410AA905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30DDFE1-A8A1-490A-8386-717A227DC8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9C675" w14:textId="77777777" w:rsidR="00F374EA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2463806E" wp14:editId="1842BC41">
              <wp:simplePos x="0" y="0"/>
              <wp:positionH relativeFrom="column">
                <wp:posOffset>2896246</wp:posOffset>
              </wp:positionH>
              <wp:positionV relativeFrom="paragraph">
                <wp:posOffset>9505901</wp:posOffset>
              </wp:positionV>
              <wp:extent cx="163830" cy="19113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8848" y="3689195"/>
                        <a:ext cx="15430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3CB73E" w14:textId="77777777" w:rsidR="00F374EA" w:rsidRDefault="00000000">
                          <w:pPr>
                            <w:spacing w:before="32"/>
                            <w:ind w:left="60"/>
                            <w:textDirection w:val="btLr"/>
                          </w:pPr>
                          <w:r>
                            <w:rPr>
                              <w:color w:val="6E6E6E"/>
                              <w:sz w:val="18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3806E" id="Rectangle 1" o:spid="_x0000_s1026" style="position:absolute;margin-left:228.05pt;margin-top:748.5pt;width:12.9pt;height:15.0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" filled="f" stroked="f">
              <v:textbox inset="0,0,0,0">
                <w:txbxContent>
                  <w:p w14:paraId="533CB73E" w14:textId="77777777" w:rsidR="00F374EA" w:rsidRDefault="00000000">
                    <w:pPr>
                      <w:spacing w:before="32"/>
                      <w:ind w:left="60"/>
                      <w:textDirection w:val="btLr"/>
                    </w:pPr>
                    <w:r>
                      <w:rPr>
                        <w:color w:val="6E6E6E"/>
                        <w:sz w:val="18"/>
                      </w:rPr>
                      <w:t xml:space="preserve"> PAGE 1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145C7" w14:textId="77777777" w:rsidR="00D8373E" w:rsidRDefault="00D8373E">
      <w:r>
        <w:separator/>
      </w:r>
    </w:p>
  </w:footnote>
  <w:footnote w:type="continuationSeparator" w:id="0">
    <w:p w14:paraId="3C5E37A4" w14:textId="77777777" w:rsidR="00D8373E" w:rsidRDefault="00D837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F4AFC"/>
    <w:multiLevelType w:val="hybridMultilevel"/>
    <w:tmpl w:val="BA38A648"/>
    <w:lvl w:ilvl="0" w:tplc="040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05B4279"/>
    <w:multiLevelType w:val="hybridMultilevel"/>
    <w:tmpl w:val="9E7221A4"/>
    <w:lvl w:ilvl="0" w:tplc="0409000B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8E03817"/>
    <w:multiLevelType w:val="hybridMultilevel"/>
    <w:tmpl w:val="F7143F5E"/>
    <w:lvl w:ilvl="0" w:tplc="0409000B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 w15:restartNumberingAfterBreak="0">
    <w:nsid w:val="10C61FA8"/>
    <w:multiLevelType w:val="hybridMultilevel"/>
    <w:tmpl w:val="34645958"/>
    <w:lvl w:ilvl="0" w:tplc="040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34F00916"/>
    <w:multiLevelType w:val="hybridMultilevel"/>
    <w:tmpl w:val="77F2F5B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" w15:restartNumberingAfterBreak="0">
    <w:nsid w:val="442C0C0F"/>
    <w:multiLevelType w:val="hybridMultilevel"/>
    <w:tmpl w:val="1376060C"/>
    <w:lvl w:ilvl="0" w:tplc="893ADA9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6" w15:restartNumberingAfterBreak="0">
    <w:nsid w:val="4E3E5C4E"/>
    <w:multiLevelType w:val="hybridMultilevel"/>
    <w:tmpl w:val="B550307C"/>
    <w:lvl w:ilvl="0" w:tplc="040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4EA71D18"/>
    <w:multiLevelType w:val="hybridMultilevel"/>
    <w:tmpl w:val="8CB80D24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3CF415B"/>
    <w:multiLevelType w:val="hybridMultilevel"/>
    <w:tmpl w:val="F47272A8"/>
    <w:lvl w:ilvl="0" w:tplc="040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6BC94B9E"/>
    <w:multiLevelType w:val="hybridMultilevel"/>
    <w:tmpl w:val="6B5ACD92"/>
    <w:lvl w:ilvl="0" w:tplc="0409000B">
      <w:start w:val="1"/>
      <w:numFmt w:val="bullet"/>
      <w:lvlText w:val=""/>
      <w:lvlJc w:val="left"/>
      <w:pPr>
        <w:ind w:left="24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 w16cid:durableId="41289736">
    <w:abstractNumId w:val="5"/>
  </w:num>
  <w:num w:numId="2" w16cid:durableId="1138261127">
    <w:abstractNumId w:val="2"/>
  </w:num>
  <w:num w:numId="3" w16cid:durableId="1429034868">
    <w:abstractNumId w:val="4"/>
  </w:num>
  <w:num w:numId="4" w16cid:durableId="580262332">
    <w:abstractNumId w:val="9"/>
  </w:num>
  <w:num w:numId="5" w16cid:durableId="222374058">
    <w:abstractNumId w:val="6"/>
  </w:num>
  <w:num w:numId="6" w16cid:durableId="1057974735">
    <w:abstractNumId w:val="1"/>
  </w:num>
  <w:num w:numId="7" w16cid:durableId="1054036766">
    <w:abstractNumId w:val="8"/>
  </w:num>
  <w:num w:numId="8" w16cid:durableId="350376464">
    <w:abstractNumId w:val="0"/>
  </w:num>
  <w:num w:numId="9" w16cid:durableId="1258171127">
    <w:abstractNumId w:val="3"/>
  </w:num>
  <w:num w:numId="10" w16cid:durableId="10820720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4EA"/>
    <w:rsid w:val="002276DB"/>
    <w:rsid w:val="004D320D"/>
    <w:rsid w:val="00A11759"/>
    <w:rsid w:val="00D8373E"/>
    <w:rsid w:val="00E75377"/>
    <w:rsid w:val="00F3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50D8"/>
  <w15:docId w15:val="{8C5479BB-3FB7-4885-BC55-CB5F3076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="Tahoma" w:hAnsi="Tahoma" w:cs="Tahoma"/>
        <w:sz w:val="22"/>
        <w:szCs w:val="22"/>
        <w:lang w:val="e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ind w:left="421" w:hanging="301"/>
      <w:outlineLvl w:val="0"/>
    </w:pPr>
    <w:rPr>
      <w:rFonts w:ascii="Arial Black" w:eastAsia="Arial Black" w:hAnsi="Arial Black" w:cs="Arial Black"/>
      <w:sz w:val="27"/>
      <w:szCs w:val="27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282"/>
      <w:ind w:left="120"/>
    </w:pPr>
    <w:rPr>
      <w:rFonts w:ascii="Arial Black" w:eastAsia="Arial Black" w:hAnsi="Arial Black" w:cs="Arial Black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27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2478</Words>
  <Characters>14129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Mwaura</cp:lastModifiedBy>
  <cp:revision>2</cp:revision>
  <dcterms:created xsi:type="dcterms:W3CDTF">2025-09-21T21:31:00Z</dcterms:created>
  <dcterms:modified xsi:type="dcterms:W3CDTF">2025-09-21T21:59:00Z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2025-09-21T00:00:00Z</vt:lpwstr>
  </property>
  <property fmtid="{D5CDD505-2E9C-101B-9397-08002B2CF9AE}" pid="3" name="Creator">
    <vt:lpwstr>ChatGPT</vt:lpwstr>
  </property>
  <property fmtid="{D5CDD505-2E9C-101B-9397-08002B2CF9AE}" pid="4" name="Producer">
    <vt:lpwstr>WeasyPrint 65.1</vt:lpwstr>
  </property>
  <property fmtid="{D5CDD505-2E9C-101B-9397-08002B2CF9AE}" pid="5" name="LastSaved">
    <vt:lpwstr>2025-09-21T00:00:00Z</vt:lpwstr>
  </property>
</Properties>
</file>