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4B920032" w:rsidR="008B5059" w:rsidRPr="001C1086" w:rsidRDefault="001C1086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Alignment of DS&amp;AS processes with I</w:t>
      </w:r>
      <w:r w:rsidRPr="001C1086">
        <w:rPr>
          <w:rStyle w:val="Strong"/>
          <w:bCs w:val="0"/>
          <w:sz w:val="40"/>
        </w:rPr>
        <w:t>nstitutional and National Regulations</w:t>
      </w:r>
      <w:r w:rsidRPr="001C1086">
        <w:rPr>
          <w:color w:val="000000" w:themeColor="text1"/>
          <w:sz w:val="40"/>
          <w:szCs w:val="24"/>
        </w:rPr>
        <w:t xml:space="preserve"> </w:t>
      </w:r>
      <w:r w:rsidR="008B5059" w:rsidRPr="001C1086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236A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236A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236A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236A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236A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236A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71A92992" w:rsidR="00A430C0" w:rsidRPr="00E1792A" w:rsidRDefault="002435E5" w:rsidP="009B50CC">
      <w:pPr>
        <w:pStyle w:val="NormalWeb"/>
      </w:pPr>
      <w:r>
        <w:t xml:space="preserve"> </w:t>
      </w:r>
      <w:r w:rsidR="001C1086">
        <w:t>To provide a standardized procedure for ensuring that all DS&amp;AS processes, including data collection, storage, analysis, sharing, and reporting, comply with the Kenya Data Protection Act (2019), institutional data governance policies, ethical standards, and international best practices.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0FE3E038" w14:textId="77777777" w:rsidR="001C1086" w:rsidRDefault="002435E5" w:rsidP="001C1086">
      <w:pPr>
        <w:pStyle w:val="NormalWeb"/>
      </w:pPr>
      <w:r>
        <w:t xml:space="preserve"> </w:t>
      </w:r>
      <w:r w:rsidR="001C1086">
        <w:t>This SOP applies to all DS&amp;AS operations across biomedical, ecological, and conservation research projects. It covers:</w:t>
      </w:r>
    </w:p>
    <w:p w14:paraId="341D8947" w14:textId="77777777" w:rsidR="001C1086" w:rsidRDefault="001C1086" w:rsidP="001C1086">
      <w:pPr>
        <w:pStyle w:val="NormalWeb"/>
        <w:numPr>
          <w:ilvl w:val="0"/>
          <w:numId w:val="12"/>
        </w:numPr>
      </w:pPr>
      <w:r>
        <w:t xml:space="preserve">Compliance with </w:t>
      </w:r>
      <w:r>
        <w:rPr>
          <w:rStyle w:val="Strong"/>
        </w:rPr>
        <w:t>Kenya Data Protection Act (2019)</w:t>
      </w:r>
      <w:r>
        <w:t xml:space="preserve"> and institutional data-sharing policies.</w:t>
      </w:r>
    </w:p>
    <w:p w14:paraId="6C2846D3" w14:textId="44FDD38D" w:rsidR="001C1086" w:rsidRDefault="001C1086" w:rsidP="001C1086">
      <w:pPr>
        <w:pStyle w:val="NormalWeb"/>
        <w:numPr>
          <w:ilvl w:val="0"/>
          <w:numId w:val="12"/>
        </w:numPr>
      </w:pPr>
      <w:r>
        <w:t xml:space="preserve">Ethical approvals from recognized </w:t>
      </w:r>
      <w:r>
        <w:rPr>
          <w:rStyle w:val="Strong"/>
        </w:rPr>
        <w:t>Institutional Review Boards (IRBs)</w:t>
      </w:r>
      <w:r>
        <w:t xml:space="preserve"> and the </w:t>
      </w:r>
      <w:r>
        <w:rPr>
          <w:rStyle w:val="Strong"/>
        </w:rPr>
        <w:t>National Commission for Science, Technology and Innovation (NACOSTI)</w:t>
      </w:r>
      <w:r>
        <w:t>.</w:t>
      </w:r>
    </w:p>
    <w:p w14:paraId="60320B48" w14:textId="77777777" w:rsidR="001C1086" w:rsidRDefault="001C1086" w:rsidP="001C1086">
      <w:pPr>
        <w:pStyle w:val="NormalWeb"/>
        <w:numPr>
          <w:ilvl w:val="0"/>
          <w:numId w:val="12"/>
        </w:numPr>
      </w:pPr>
      <w:r>
        <w:t>Alignment with international data governance standards (e.g., FAIR, GDPR, WHO ethics guidelines).</w:t>
      </w:r>
    </w:p>
    <w:p w14:paraId="38826107" w14:textId="4686CBC4" w:rsidR="00A430C0" w:rsidRPr="00E1792A" w:rsidRDefault="001C1086" w:rsidP="009B50CC">
      <w:pPr>
        <w:pStyle w:val="NormalWeb"/>
        <w:numPr>
          <w:ilvl w:val="0"/>
          <w:numId w:val="12"/>
        </w:numPr>
      </w:pPr>
      <w:r>
        <w:t>Documentation of compliance checks across all DS&amp;AS-supported projects.</w:t>
      </w:r>
      <w:bookmarkStart w:id="8" w:name="_GoBack"/>
      <w:bookmarkEnd w:id="8"/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7"/>
      <w:r w:rsidRPr="00E1792A">
        <w:t>PERSONS RESPONSIBLE:</w:t>
      </w:r>
      <w:bookmarkEnd w:id="9"/>
      <w:bookmarkEnd w:id="10"/>
      <w:r w:rsidRPr="00E1792A">
        <w:t xml:space="preserve"> </w:t>
      </w:r>
    </w:p>
    <w:p w14:paraId="08B80968" w14:textId="77777777" w:rsidR="001C1086" w:rsidRDefault="002435E5" w:rsidP="001C1086">
      <w:pPr>
        <w:pStyle w:val="NormalWeb"/>
        <w:numPr>
          <w:ilvl w:val="0"/>
          <w:numId w:val="13"/>
        </w:numPr>
      </w:pPr>
      <w:r>
        <w:t xml:space="preserve"> </w:t>
      </w:r>
      <w:r w:rsidR="001C1086">
        <w:rPr>
          <w:rStyle w:val="Strong"/>
        </w:rPr>
        <w:t>Head of DS&amp;AS</w:t>
      </w:r>
      <w:r w:rsidR="001C1086">
        <w:t xml:space="preserve"> – Ensures overall compliance and reports to the Director of Research and Product Development.</w:t>
      </w:r>
    </w:p>
    <w:p w14:paraId="174D8139" w14:textId="77777777" w:rsidR="001C1086" w:rsidRDefault="001C1086" w:rsidP="001C1086">
      <w:pPr>
        <w:pStyle w:val="NormalWeb"/>
        <w:numPr>
          <w:ilvl w:val="0"/>
          <w:numId w:val="13"/>
        </w:numPr>
      </w:pPr>
      <w:r>
        <w:rPr>
          <w:rStyle w:val="Strong"/>
        </w:rPr>
        <w:t>Data Protection Officer (DPO)</w:t>
      </w:r>
      <w:r>
        <w:t xml:space="preserve"> – Provides oversight on adherence to the Data Protection Act and institutional policies.</w:t>
      </w:r>
    </w:p>
    <w:p w14:paraId="13632227" w14:textId="77777777" w:rsidR="001C1086" w:rsidRDefault="001C1086" w:rsidP="001C1086">
      <w:pPr>
        <w:pStyle w:val="NormalWeb"/>
        <w:numPr>
          <w:ilvl w:val="0"/>
          <w:numId w:val="13"/>
        </w:numPr>
      </w:pPr>
      <w:r>
        <w:rPr>
          <w:rStyle w:val="Strong"/>
        </w:rPr>
        <w:t>DS&amp;AS Compliance Officer / Assigned Analyst</w:t>
      </w:r>
      <w:r>
        <w:t xml:space="preserve"> – Conducts routine compliance checks.</w:t>
      </w:r>
    </w:p>
    <w:p w14:paraId="5D21FFB8" w14:textId="77777777" w:rsidR="001C1086" w:rsidRDefault="001C1086" w:rsidP="001C1086">
      <w:pPr>
        <w:pStyle w:val="NormalWeb"/>
        <w:numPr>
          <w:ilvl w:val="0"/>
          <w:numId w:val="13"/>
        </w:numPr>
      </w:pPr>
      <w:r>
        <w:rPr>
          <w:rStyle w:val="Strong"/>
        </w:rPr>
        <w:t>Principal Investigators (PIs)</w:t>
      </w:r>
      <w:r>
        <w:t xml:space="preserve"> – Ensure that project-level processes (study design, data collection, analysis) meet ethical and legal requirements.</w:t>
      </w:r>
    </w:p>
    <w:p w14:paraId="7D8F408C" w14:textId="196F85BB" w:rsidR="00A430C0" w:rsidRPr="00E1792A" w:rsidRDefault="001C1086" w:rsidP="001C1086">
      <w:pPr>
        <w:pStyle w:val="NormalWeb"/>
        <w:numPr>
          <w:ilvl w:val="0"/>
          <w:numId w:val="13"/>
        </w:numPr>
      </w:pPr>
      <w:r>
        <w:rPr>
          <w:rStyle w:val="Strong"/>
        </w:rPr>
        <w:t>Ethics Review Committees &amp; Regulators</w:t>
      </w:r>
      <w:r>
        <w:t xml:space="preserve"> – Provide external approvals and oversight.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4C598392" w14:textId="77777777" w:rsidR="001C1086" w:rsidRDefault="002435E5" w:rsidP="001C1086">
      <w:pPr>
        <w:pStyle w:val="NormalWeb"/>
        <w:numPr>
          <w:ilvl w:val="0"/>
          <w:numId w:val="14"/>
        </w:numPr>
      </w:pPr>
      <w:r>
        <w:t xml:space="preserve"> </w:t>
      </w:r>
      <w:r w:rsidR="001C1086">
        <w:rPr>
          <w:rStyle w:val="Strong"/>
        </w:rPr>
        <w:t>Before project initiation</w:t>
      </w:r>
      <w:r w:rsidR="001C1086">
        <w:t xml:space="preserve"> – Compliance checks on ethical approvals, consent forms, and data collection methods.</w:t>
      </w:r>
    </w:p>
    <w:p w14:paraId="211959D3" w14:textId="77777777" w:rsidR="001C1086" w:rsidRDefault="001C1086" w:rsidP="001C1086">
      <w:pPr>
        <w:pStyle w:val="NormalWeb"/>
        <w:numPr>
          <w:ilvl w:val="0"/>
          <w:numId w:val="14"/>
        </w:numPr>
      </w:pPr>
      <w:r>
        <w:rPr>
          <w:rStyle w:val="Strong"/>
        </w:rPr>
        <w:t>During project implementation</w:t>
      </w:r>
      <w:r>
        <w:t xml:space="preserve"> – Continuous monitoring of data handling, access, and sharing.</w:t>
      </w:r>
    </w:p>
    <w:p w14:paraId="6497A8B3" w14:textId="77777777" w:rsidR="001C1086" w:rsidRDefault="001C1086" w:rsidP="001C1086">
      <w:pPr>
        <w:pStyle w:val="NormalWeb"/>
        <w:numPr>
          <w:ilvl w:val="0"/>
          <w:numId w:val="14"/>
        </w:numPr>
      </w:pPr>
      <w:r>
        <w:rPr>
          <w:rStyle w:val="Strong"/>
        </w:rPr>
        <w:t>Annual compliance review</w:t>
      </w:r>
      <w:r>
        <w:t xml:space="preserve"> – DS&amp;AS and DPO audit all ongoing projects.</w:t>
      </w:r>
    </w:p>
    <w:p w14:paraId="189F2F5B" w14:textId="0A8FE165" w:rsidR="00A430C0" w:rsidRPr="001C1086" w:rsidRDefault="001C1086" w:rsidP="001C1086">
      <w:pPr>
        <w:pStyle w:val="NormalWeb"/>
        <w:numPr>
          <w:ilvl w:val="0"/>
          <w:numId w:val="14"/>
        </w:numPr>
      </w:pPr>
      <w:r>
        <w:rPr>
          <w:rStyle w:val="Strong"/>
        </w:rPr>
        <w:t>Triggered updates</w:t>
      </w:r>
      <w:r>
        <w:t xml:space="preserve"> – Immediately after any legal/regulatory amendments (e.g., revisions to the DPA 2019).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7C87653D" w14:textId="77777777" w:rsidR="001C1086" w:rsidRDefault="002435E5" w:rsidP="001C1086">
      <w:pPr>
        <w:pStyle w:val="NormalWeb"/>
        <w:numPr>
          <w:ilvl w:val="0"/>
          <w:numId w:val="15"/>
        </w:numPr>
      </w:pPr>
      <w:r>
        <w:t xml:space="preserve"> </w:t>
      </w:r>
      <w:r w:rsidR="001C1086">
        <w:t>Kenya Data Protection Act (2019) and regulations.</w:t>
      </w:r>
    </w:p>
    <w:p w14:paraId="7143D0DD" w14:textId="77777777" w:rsidR="001C1086" w:rsidRDefault="001C1086" w:rsidP="001C1086">
      <w:pPr>
        <w:pStyle w:val="NormalWeb"/>
        <w:numPr>
          <w:ilvl w:val="0"/>
          <w:numId w:val="15"/>
        </w:numPr>
      </w:pPr>
      <w:r>
        <w:lastRenderedPageBreak/>
        <w:t>KIPRE’s Institutional Data Protection and Sharing Policy.</w:t>
      </w:r>
    </w:p>
    <w:p w14:paraId="51B0AA4A" w14:textId="77777777" w:rsidR="001C1086" w:rsidRDefault="001C1086" w:rsidP="001C1086">
      <w:pPr>
        <w:pStyle w:val="NormalWeb"/>
        <w:numPr>
          <w:ilvl w:val="0"/>
          <w:numId w:val="15"/>
        </w:numPr>
      </w:pPr>
      <w:r>
        <w:t>NACOSTI guidelines and ethics approval frameworks.</w:t>
      </w:r>
    </w:p>
    <w:p w14:paraId="0181CA67" w14:textId="77777777" w:rsidR="001C1086" w:rsidRDefault="001C1086" w:rsidP="001C1086">
      <w:pPr>
        <w:pStyle w:val="NormalWeb"/>
        <w:numPr>
          <w:ilvl w:val="0"/>
          <w:numId w:val="15"/>
        </w:numPr>
      </w:pPr>
      <w:r>
        <w:t>Institutional Review Board (IRB) protocols.</w:t>
      </w:r>
    </w:p>
    <w:p w14:paraId="6B3E8C02" w14:textId="77777777" w:rsidR="001C1086" w:rsidRDefault="001C1086" w:rsidP="001C1086">
      <w:pPr>
        <w:pStyle w:val="NormalWeb"/>
        <w:numPr>
          <w:ilvl w:val="0"/>
          <w:numId w:val="15"/>
        </w:numPr>
      </w:pPr>
      <w:r>
        <w:t>Compliance checklist templates.</w:t>
      </w:r>
    </w:p>
    <w:p w14:paraId="7F3F2D49" w14:textId="18B25603" w:rsidR="00EF6627" w:rsidRPr="001C1086" w:rsidRDefault="001C1086" w:rsidP="001C1086">
      <w:pPr>
        <w:pStyle w:val="NormalWeb"/>
        <w:numPr>
          <w:ilvl w:val="0"/>
          <w:numId w:val="15"/>
        </w:numPr>
      </w:pPr>
      <w:r>
        <w:t>Data governance dashboards and monitoring tools.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25F94BB2" w14:textId="77777777" w:rsidR="001C1086" w:rsidRDefault="001C1086" w:rsidP="001C1086">
      <w:pPr>
        <w:pStyle w:val="NormalWeb"/>
      </w:pPr>
      <w:r>
        <w:rPr>
          <w:rStyle w:val="Strong"/>
        </w:rPr>
        <w:t>Step 1: Pre-Project Compliance Review</w:t>
      </w:r>
    </w:p>
    <w:p w14:paraId="67D9B983" w14:textId="77777777" w:rsidR="001C1086" w:rsidRDefault="001C1086" w:rsidP="001C1086">
      <w:pPr>
        <w:pStyle w:val="NormalWeb"/>
        <w:numPr>
          <w:ilvl w:val="0"/>
          <w:numId w:val="16"/>
        </w:numPr>
      </w:pPr>
      <w:r>
        <w:t>PI submits study protocol and data management plan.</w:t>
      </w:r>
    </w:p>
    <w:p w14:paraId="26AECC3B" w14:textId="77777777" w:rsidR="001C1086" w:rsidRDefault="001C1086" w:rsidP="001C1086">
      <w:pPr>
        <w:pStyle w:val="NormalWeb"/>
        <w:numPr>
          <w:ilvl w:val="0"/>
          <w:numId w:val="16"/>
        </w:numPr>
      </w:pPr>
      <w:r>
        <w:t>DS&amp;AS verifies alignment with institutional policies, DPA 2019, and ethical requirements.</w:t>
      </w:r>
    </w:p>
    <w:p w14:paraId="1ADDADA8" w14:textId="77777777" w:rsidR="001C1086" w:rsidRDefault="001C1086" w:rsidP="001C1086">
      <w:pPr>
        <w:pStyle w:val="NormalWeb"/>
        <w:numPr>
          <w:ilvl w:val="0"/>
          <w:numId w:val="16"/>
        </w:numPr>
      </w:pPr>
      <w:r>
        <w:t>Required approvals (IRB, NACOSTI) must be documented before project initiation.</w:t>
      </w:r>
    </w:p>
    <w:p w14:paraId="455BBEAD" w14:textId="77777777" w:rsidR="001C1086" w:rsidRDefault="001C1086" w:rsidP="001C1086">
      <w:pPr>
        <w:pStyle w:val="NormalWeb"/>
      </w:pPr>
      <w:r>
        <w:rPr>
          <w:rStyle w:val="Strong"/>
        </w:rPr>
        <w:t>Step 2: Ongoing Compliance Monitoring</w:t>
      </w:r>
    </w:p>
    <w:p w14:paraId="6BAED8F9" w14:textId="77777777" w:rsidR="001C1086" w:rsidRDefault="001C1086" w:rsidP="001C1086">
      <w:pPr>
        <w:pStyle w:val="NormalWeb"/>
        <w:numPr>
          <w:ilvl w:val="0"/>
          <w:numId w:val="17"/>
        </w:numPr>
      </w:pPr>
      <w:r>
        <w:t>DS&amp;AS tracks data handling workflows via compliance dashboards.</w:t>
      </w:r>
    </w:p>
    <w:p w14:paraId="2DC6B867" w14:textId="77777777" w:rsidR="001C1086" w:rsidRDefault="001C1086" w:rsidP="001C1086">
      <w:pPr>
        <w:pStyle w:val="NormalWeb"/>
        <w:numPr>
          <w:ilvl w:val="0"/>
          <w:numId w:val="17"/>
        </w:numPr>
      </w:pPr>
      <w:r>
        <w:t>Access to sensitive datasets restricted through role-based controls and encryption.</w:t>
      </w:r>
    </w:p>
    <w:p w14:paraId="3B9D0948" w14:textId="77777777" w:rsidR="001C1086" w:rsidRDefault="001C1086" w:rsidP="001C1086">
      <w:pPr>
        <w:pStyle w:val="NormalWeb"/>
        <w:numPr>
          <w:ilvl w:val="0"/>
          <w:numId w:val="17"/>
        </w:numPr>
      </w:pPr>
      <w:r>
        <w:t>Regular audits ensure adherence to consent requirements, anonymisation standards, and secure transfer protocols.</w:t>
      </w:r>
    </w:p>
    <w:p w14:paraId="1279DC09" w14:textId="77777777" w:rsidR="001C1086" w:rsidRDefault="001C1086" w:rsidP="001C1086">
      <w:pPr>
        <w:pStyle w:val="NormalWeb"/>
      </w:pPr>
      <w:r>
        <w:rPr>
          <w:rStyle w:val="Strong"/>
        </w:rPr>
        <w:t>Step 3: Breach and Incident Handling</w:t>
      </w:r>
    </w:p>
    <w:p w14:paraId="67FB06AE" w14:textId="77777777" w:rsidR="001C1086" w:rsidRDefault="001C1086" w:rsidP="001C1086">
      <w:pPr>
        <w:pStyle w:val="NormalWeb"/>
        <w:numPr>
          <w:ilvl w:val="0"/>
          <w:numId w:val="18"/>
        </w:numPr>
      </w:pPr>
      <w:r>
        <w:t>In case of data breach, DS&amp;AS coordinates with ICT and DPO for immediate containment.</w:t>
      </w:r>
    </w:p>
    <w:p w14:paraId="243C3102" w14:textId="77777777" w:rsidR="001C1086" w:rsidRDefault="001C1086" w:rsidP="001C1086">
      <w:pPr>
        <w:pStyle w:val="NormalWeb"/>
        <w:numPr>
          <w:ilvl w:val="0"/>
          <w:numId w:val="18"/>
        </w:numPr>
      </w:pPr>
      <w:r>
        <w:t xml:space="preserve">Notify authorities and affected parties within </w:t>
      </w:r>
      <w:r>
        <w:rPr>
          <w:rStyle w:val="Strong"/>
        </w:rPr>
        <w:t>72 hours</w:t>
      </w:r>
      <w:r>
        <w:t xml:space="preserve"> (as per DPA 2019).</w:t>
      </w:r>
    </w:p>
    <w:p w14:paraId="3430CD81" w14:textId="77777777" w:rsidR="001C1086" w:rsidRDefault="001C1086" w:rsidP="001C1086">
      <w:pPr>
        <w:pStyle w:val="NormalWeb"/>
        <w:numPr>
          <w:ilvl w:val="0"/>
          <w:numId w:val="18"/>
        </w:numPr>
      </w:pPr>
      <w:r>
        <w:t>Document incident, corrective measures, and lessons learned.</w:t>
      </w:r>
    </w:p>
    <w:p w14:paraId="4F48950B" w14:textId="77777777" w:rsidR="001C1086" w:rsidRDefault="001C1086" w:rsidP="001C1086">
      <w:pPr>
        <w:pStyle w:val="NormalWeb"/>
      </w:pPr>
      <w:r>
        <w:rPr>
          <w:rStyle w:val="Strong"/>
        </w:rPr>
        <w:t>Step 4: Annual and Ad-Hoc Reviews</w:t>
      </w:r>
    </w:p>
    <w:p w14:paraId="2E8AB644" w14:textId="77777777" w:rsidR="001C1086" w:rsidRDefault="001C1086" w:rsidP="001C1086">
      <w:pPr>
        <w:pStyle w:val="NormalWeb"/>
        <w:numPr>
          <w:ilvl w:val="0"/>
          <w:numId w:val="19"/>
        </w:numPr>
      </w:pPr>
      <w:r>
        <w:t>DS&amp;AS and DPO jointly conduct an annual compliance audit across all projects.</w:t>
      </w:r>
    </w:p>
    <w:p w14:paraId="1A7F1E6E" w14:textId="77777777" w:rsidR="001C1086" w:rsidRDefault="001C1086" w:rsidP="001C1086">
      <w:pPr>
        <w:pStyle w:val="NormalWeb"/>
        <w:numPr>
          <w:ilvl w:val="0"/>
          <w:numId w:val="19"/>
        </w:numPr>
      </w:pPr>
      <w:r>
        <w:t>Review includes data quality, security controls, ethical approvals validity, and adherence to FAIR principles.</w:t>
      </w:r>
    </w:p>
    <w:p w14:paraId="19BF1FA1" w14:textId="77777777" w:rsidR="001C1086" w:rsidRDefault="001C1086" w:rsidP="001C1086">
      <w:pPr>
        <w:pStyle w:val="NormalWeb"/>
        <w:numPr>
          <w:ilvl w:val="0"/>
          <w:numId w:val="19"/>
        </w:numPr>
      </w:pPr>
      <w:r>
        <w:t>Interim reviews are triggered by regulatory changes or identified risks.</w:t>
      </w:r>
    </w:p>
    <w:p w14:paraId="542D29C5" w14:textId="77777777" w:rsidR="001C1086" w:rsidRDefault="001C1086" w:rsidP="001C1086">
      <w:pPr>
        <w:pStyle w:val="NormalWeb"/>
      </w:pPr>
      <w:r>
        <w:rPr>
          <w:rStyle w:val="Strong"/>
        </w:rPr>
        <w:t>Step 5: Reporting &amp; Documentation</w:t>
      </w:r>
    </w:p>
    <w:p w14:paraId="63A852F1" w14:textId="77777777" w:rsidR="001C1086" w:rsidRDefault="001C1086" w:rsidP="001C1086">
      <w:pPr>
        <w:pStyle w:val="NormalWeb"/>
        <w:numPr>
          <w:ilvl w:val="0"/>
          <w:numId w:val="20"/>
        </w:numPr>
      </w:pPr>
      <w:r>
        <w:t>Compliance reports prepared by DS&amp;AS and submitted to the Director of Research and Product Development.</w:t>
      </w:r>
    </w:p>
    <w:p w14:paraId="4B82C25D" w14:textId="77777777" w:rsidR="001C1086" w:rsidRDefault="001C1086" w:rsidP="001C1086">
      <w:pPr>
        <w:pStyle w:val="NormalWeb"/>
        <w:numPr>
          <w:ilvl w:val="0"/>
          <w:numId w:val="20"/>
        </w:numPr>
      </w:pPr>
      <w:r>
        <w:t>Copies archived in the institutional compliance repository.</w:t>
      </w:r>
    </w:p>
    <w:p w14:paraId="72674951" w14:textId="77777777" w:rsidR="001C1086" w:rsidRDefault="001C1086" w:rsidP="001C1086">
      <w:pPr>
        <w:pStyle w:val="NormalWeb"/>
        <w:numPr>
          <w:ilvl w:val="0"/>
          <w:numId w:val="20"/>
        </w:numPr>
      </w:pPr>
      <w:r>
        <w:t>Findings disseminated to staff during compliance workshops.</w:t>
      </w:r>
    </w:p>
    <w:p w14:paraId="7F7498F7" w14:textId="77777777" w:rsidR="001C1086" w:rsidRDefault="001C1086" w:rsidP="001C1086">
      <w:pPr>
        <w:pStyle w:val="NormalWeb"/>
      </w:pPr>
      <w:r>
        <w:rPr>
          <w:rStyle w:val="Strong"/>
        </w:rPr>
        <w:t>Step 6: Continuous Capacity Building</w:t>
      </w:r>
    </w:p>
    <w:p w14:paraId="371D3557" w14:textId="70BA8A31" w:rsidR="001C1086" w:rsidRDefault="001C1086" w:rsidP="001C1086">
      <w:pPr>
        <w:pStyle w:val="NormalWeb"/>
        <w:numPr>
          <w:ilvl w:val="0"/>
          <w:numId w:val="21"/>
        </w:numPr>
      </w:pPr>
      <w:r>
        <w:lastRenderedPageBreak/>
        <w:t>DS&amp;AS organizes training on compliance requirements for all researchers.</w:t>
      </w:r>
    </w:p>
    <w:p w14:paraId="76941CF3" w14:textId="77777777" w:rsidR="001C1086" w:rsidRDefault="001C1086" w:rsidP="001C1086">
      <w:pPr>
        <w:pStyle w:val="NormalWeb"/>
        <w:numPr>
          <w:ilvl w:val="0"/>
          <w:numId w:val="21"/>
        </w:numPr>
      </w:pPr>
      <w:r>
        <w:t>Refresher sessions conducted annually and whenever regulatory updates occur.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1964B2FC" w14:textId="3B1E608C" w:rsidR="00D83080" w:rsidRDefault="002435E5" w:rsidP="001C1086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6EC89" w14:textId="77777777" w:rsidR="00236AC9" w:rsidRDefault="00236AC9">
      <w:pPr>
        <w:spacing w:after="0" w:line="240" w:lineRule="auto"/>
      </w:pPr>
      <w:r>
        <w:separator/>
      </w:r>
    </w:p>
  </w:endnote>
  <w:endnote w:type="continuationSeparator" w:id="0">
    <w:p w14:paraId="329D21E2" w14:textId="77777777" w:rsidR="00236AC9" w:rsidRDefault="0023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B50C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B50C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2959D" w14:textId="77777777" w:rsidR="00236AC9" w:rsidRDefault="00236AC9">
      <w:pPr>
        <w:spacing w:after="0" w:line="240" w:lineRule="auto"/>
      </w:pPr>
      <w:r>
        <w:separator/>
      </w:r>
    </w:p>
  </w:footnote>
  <w:footnote w:type="continuationSeparator" w:id="0">
    <w:p w14:paraId="1C2CFDD6" w14:textId="77777777" w:rsidR="00236AC9" w:rsidRDefault="00236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754AD6"/>
    <w:multiLevelType w:val="multilevel"/>
    <w:tmpl w:val="686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051E"/>
    <w:multiLevelType w:val="multilevel"/>
    <w:tmpl w:val="205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84BA9"/>
    <w:multiLevelType w:val="multilevel"/>
    <w:tmpl w:val="C3B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E3D2B"/>
    <w:multiLevelType w:val="multilevel"/>
    <w:tmpl w:val="CA74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C34E8C"/>
    <w:multiLevelType w:val="multilevel"/>
    <w:tmpl w:val="402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57F8B"/>
    <w:multiLevelType w:val="multilevel"/>
    <w:tmpl w:val="850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827EE1"/>
    <w:multiLevelType w:val="multilevel"/>
    <w:tmpl w:val="8A7A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14575"/>
    <w:multiLevelType w:val="multilevel"/>
    <w:tmpl w:val="9590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C3755"/>
    <w:multiLevelType w:val="multilevel"/>
    <w:tmpl w:val="ED7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F40C59"/>
    <w:multiLevelType w:val="multilevel"/>
    <w:tmpl w:val="E98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7"/>
  </w:num>
  <w:num w:numId="6">
    <w:abstractNumId w:val="15"/>
  </w:num>
  <w:num w:numId="7">
    <w:abstractNumId w:val="5"/>
    <w:lvlOverride w:ilvl="0">
      <w:startOverride w:val="1"/>
    </w:lvlOverride>
  </w:num>
  <w:num w:numId="8">
    <w:abstractNumId w:val="11"/>
  </w:num>
  <w:num w:numId="9">
    <w:abstractNumId w:val="8"/>
  </w:num>
  <w:num w:numId="10">
    <w:abstractNumId w:val="12"/>
  </w:num>
  <w:num w:numId="11">
    <w:abstractNumId w:val="16"/>
  </w:num>
  <w:num w:numId="12">
    <w:abstractNumId w:val="19"/>
  </w:num>
  <w:num w:numId="13">
    <w:abstractNumId w:val="14"/>
  </w:num>
  <w:num w:numId="14">
    <w:abstractNumId w:val="7"/>
  </w:num>
  <w:num w:numId="15">
    <w:abstractNumId w:val="2"/>
  </w:num>
  <w:num w:numId="16">
    <w:abstractNumId w:val="3"/>
  </w:num>
  <w:num w:numId="17">
    <w:abstractNumId w:val="9"/>
  </w:num>
  <w:num w:numId="18">
    <w:abstractNumId w:val="10"/>
  </w:num>
  <w:num w:numId="19">
    <w:abstractNumId w:val="1"/>
  </w:num>
  <w:num w:numId="20">
    <w:abstractNumId w:val="6"/>
  </w:num>
  <w:num w:numId="2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C1086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6AC9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B50CC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85459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3080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BA70D-A0CC-490F-BF66-1E907578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5</cp:revision>
  <cp:lastPrinted>2023-08-21T06:20:00Z</cp:lastPrinted>
  <dcterms:created xsi:type="dcterms:W3CDTF">2025-10-06T09:14:00Z</dcterms:created>
  <dcterms:modified xsi:type="dcterms:W3CDTF">2025-10-06T10:56:00Z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