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1"/>
    <w:p w14:paraId="3D17304D" w14:textId="371D5898" w:rsidR="004F7C1E" w:rsidRPr="004F7C1E" w:rsidRDefault="004F7C1E" w:rsidP="004F7C1E">
      <w:pPr>
        <w:pStyle w:val="Heading1"/>
        <w:numPr>
          <w:ilvl w:val="0"/>
          <w:numId w:val="0"/>
        </w:numPr>
        <w:jc w:val="center"/>
        <w:rPr>
          <w:sz w:val="40"/>
        </w:rPr>
      </w:pPr>
      <w:r w:rsidRPr="004F7C1E">
        <w:rPr>
          <w:rStyle w:val="Strong"/>
          <w:b/>
          <w:bCs w:val="0"/>
          <w:sz w:val="40"/>
        </w:rPr>
        <w:t>Statistical Analysis Plans (SAPs)</w:t>
      </w:r>
    </w:p>
    <w:p w14:paraId="54D3F510" w14:textId="447E51DC" w:rsidR="008B5059" w:rsidRPr="00E1792A" w:rsidRDefault="008B5059" w:rsidP="00E1792A">
      <w:pPr>
        <w:spacing w:after="160" w:line="259" w:lineRule="auto"/>
        <w:ind w:left="0" w:right="0" w:firstLine="0"/>
        <w:jc w:val="center"/>
        <w:rPr>
          <w:b/>
          <w:color w:val="000000" w:themeColor="text1"/>
          <w:szCs w:val="24"/>
        </w:rPr>
      </w:pPr>
      <w:r w:rsidRPr="00E1792A">
        <w:rPr>
          <w:b/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2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2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C24CD0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3E6EC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C24CD0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3E6EC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C24CD0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3E6EC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C24CD0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3E6EC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C24CD0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3E6EC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C24CD0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3E6EC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C24CD0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3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4" w:name="_Toc144316958"/>
      <w:r w:rsidRPr="00E1792A">
        <w:lastRenderedPageBreak/>
        <w:t>PURPOSE</w:t>
      </w:r>
      <w:bookmarkEnd w:id="4"/>
    </w:p>
    <w:p w14:paraId="750FBA7F" w14:textId="6FC493D8" w:rsidR="00A430C0" w:rsidRPr="00E1792A" w:rsidRDefault="002435E5" w:rsidP="00BD41B3">
      <w:pPr>
        <w:pStyle w:val="NormalWeb"/>
      </w:pPr>
      <w:r>
        <w:t xml:space="preserve"> </w:t>
      </w:r>
      <w:r w:rsidR="004F7C1E">
        <w:t>To mandate the preparation, approval, and version control of Statistical Analysis Plans (SAPs) before data analysis begins, ensuring transparency, reproducibility, and compliance.</w:t>
      </w:r>
    </w:p>
    <w:p w14:paraId="76DFE932" w14:textId="77777777" w:rsidR="00D0679E" w:rsidRDefault="00A430C0" w:rsidP="00D0679E">
      <w:pPr>
        <w:pStyle w:val="Heading1"/>
      </w:pPr>
      <w:bookmarkStart w:id="5" w:name="_Toc144316959"/>
      <w:r w:rsidRPr="00E1792A">
        <w:t>SCOPE</w:t>
      </w:r>
      <w:bookmarkStart w:id="6" w:name="_Hlk144290335"/>
      <w:bookmarkStart w:id="7" w:name="_Hlk144290676"/>
      <w:bookmarkEnd w:id="5"/>
    </w:p>
    <w:p w14:paraId="4D857DA3" w14:textId="77777777" w:rsidR="004F7C1E" w:rsidRDefault="004F7C1E" w:rsidP="004F7C1E">
      <w:pPr>
        <w:pStyle w:val="NormalWeb"/>
      </w:pPr>
      <w:bookmarkStart w:id="8" w:name="_Toc144203932"/>
      <w:bookmarkStart w:id="9" w:name="_Toc144316960"/>
      <w:bookmarkEnd w:id="6"/>
      <w:bookmarkEnd w:id="7"/>
      <w:r>
        <w:t>Covers all research projects supported by DS&amp;AS that involve statistical analysis, modelling, or reporting.</w:t>
      </w:r>
    </w:p>
    <w:p w14:paraId="2A50F2FB" w14:textId="77777777" w:rsidR="00A430C0" w:rsidRPr="00E1792A" w:rsidRDefault="00A430C0" w:rsidP="00A430C0">
      <w:pPr>
        <w:pStyle w:val="Heading1"/>
      </w:pPr>
      <w:r w:rsidRPr="00E1792A">
        <w:t>PERSONS RESPONSIBLE:</w:t>
      </w:r>
      <w:bookmarkEnd w:id="8"/>
      <w:bookmarkEnd w:id="9"/>
      <w:r w:rsidRPr="00E1792A">
        <w:t xml:space="preserve"> </w:t>
      </w:r>
    </w:p>
    <w:p w14:paraId="21A89117" w14:textId="77777777" w:rsidR="004F7C1E" w:rsidRPr="005648A2" w:rsidRDefault="004F7C1E" w:rsidP="004F7C1E">
      <w:pPr>
        <w:pStyle w:val="NormalWeb"/>
        <w:numPr>
          <w:ilvl w:val="0"/>
          <w:numId w:val="16"/>
        </w:numPr>
      </w:pPr>
      <w:r w:rsidRPr="005648A2">
        <w:rPr>
          <w:rStyle w:val="Strong"/>
        </w:rPr>
        <w:t>Principal Investigator (PI):</w:t>
      </w:r>
      <w:r w:rsidRPr="005648A2">
        <w:t xml:space="preserve"> Drafts SAP with DS&amp;AS support.</w:t>
      </w:r>
    </w:p>
    <w:p w14:paraId="5AD2F107" w14:textId="77777777" w:rsidR="004F7C1E" w:rsidRPr="005648A2" w:rsidRDefault="004F7C1E" w:rsidP="004F7C1E">
      <w:pPr>
        <w:pStyle w:val="NormalWeb"/>
        <w:numPr>
          <w:ilvl w:val="0"/>
          <w:numId w:val="16"/>
        </w:numPr>
      </w:pPr>
      <w:r w:rsidRPr="005648A2">
        <w:rPr>
          <w:rStyle w:val="Strong"/>
        </w:rPr>
        <w:t>DS&amp;AS Biostatistician/Data Scientist:</w:t>
      </w:r>
      <w:r w:rsidRPr="005648A2">
        <w:t xml:space="preserve"> Develops and reviews SAP.</w:t>
      </w:r>
    </w:p>
    <w:p w14:paraId="697572EE" w14:textId="77777777" w:rsidR="004F7C1E" w:rsidRPr="005648A2" w:rsidRDefault="004F7C1E" w:rsidP="004F7C1E">
      <w:pPr>
        <w:pStyle w:val="NormalWeb"/>
        <w:numPr>
          <w:ilvl w:val="0"/>
          <w:numId w:val="16"/>
        </w:numPr>
      </w:pPr>
      <w:r w:rsidRPr="005648A2">
        <w:rPr>
          <w:rStyle w:val="Strong"/>
        </w:rPr>
        <w:t>Senior Statistician (DS&amp;AS):</w:t>
      </w:r>
      <w:r w:rsidRPr="005648A2">
        <w:t xml:space="preserve"> Approves SAP before analysis.</w:t>
      </w:r>
    </w:p>
    <w:p w14:paraId="0F78A041" w14:textId="5FCFD4E8" w:rsidR="004F7C1E" w:rsidRPr="005648A2" w:rsidRDefault="004F7C1E" w:rsidP="004F7C1E">
      <w:pPr>
        <w:pStyle w:val="NormalWeb"/>
        <w:numPr>
          <w:ilvl w:val="0"/>
          <w:numId w:val="16"/>
        </w:numPr>
      </w:pPr>
      <w:r w:rsidRPr="005648A2">
        <w:rPr>
          <w:rStyle w:val="Strong"/>
        </w:rPr>
        <w:t>Head of DS&amp;AS:</w:t>
      </w:r>
      <w:r w:rsidRPr="005648A2">
        <w:t xml:space="preserve"> Ensures archiving and compliance.</w:t>
      </w:r>
    </w:p>
    <w:p w14:paraId="7BAC35F7" w14:textId="6EF80865" w:rsidR="00A430C0" w:rsidRPr="00E1792A" w:rsidRDefault="00A430C0" w:rsidP="00D0679E">
      <w:pPr>
        <w:pStyle w:val="Heading1"/>
      </w:pPr>
      <w:bookmarkStart w:id="10" w:name="_Toc144203933"/>
      <w:bookmarkStart w:id="11" w:name="_Toc144316961"/>
      <w:r w:rsidRPr="00E1792A">
        <w:t>FREQUENCY</w:t>
      </w:r>
      <w:bookmarkEnd w:id="10"/>
      <w:bookmarkEnd w:id="11"/>
    </w:p>
    <w:p w14:paraId="3F518DFF" w14:textId="77777777" w:rsidR="004F7C1E" w:rsidRDefault="004F7C1E" w:rsidP="004F7C1E">
      <w:pPr>
        <w:pStyle w:val="NormalWeb"/>
        <w:numPr>
          <w:ilvl w:val="0"/>
          <w:numId w:val="17"/>
        </w:numPr>
      </w:pPr>
      <w:bookmarkStart w:id="12" w:name="_Toc144316962"/>
      <w:r>
        <w:rPr>
          <w:rStyle w:val="Strong"/>
        </w:rPr>
        <w:t>Mandatory once before any analysis begins.</w:t>
      </w:r>
    </w:p>
    <w:p w14:paraId="36C13E9D" w14:textId="77777777" w:rsidR="004F7C1E" w:rsidRDefault="004F7C1E" w:rsidP="004F7C1E">
      <w:pPr>
        <w:pStyle w:val="NormalWeb"/>
        <w:numPr>
          <w:ilvl w:val="0"/>
          <w:numId w:val="17"/>
        </w:numPr>
      </w:pPr>
      <w:r>
        <w:rPr>
          <w:rStyle w:val="Strong"/>
        </w:rPr>
        <w:t>Updates allowed only with justification,</w:t>
      </w:r>
      <w:r>
        <w:t xml:space="preserve"> version-controlled and documented.</w:t>
      </w:r>
    </w:p>
    <w:p w14:paraId="147A56C9" w14:textId="34869643" w:rsidR="00EF6627" w:rsidRDefault="00EF6627" w:rsidP="00EF6627">
      <w:pPr>
        <w:pStyle w:val="Heading1"/>
      </w:pPr>
      <w:r>
        <w:t>MATERIALS</w:t>
      </w:r>
      <w:bookmarkEnd w:id="12"/>
    </w:p>
    <w:p w14:paraId="33D764CC" w14:textId="77777777" w:rsidR="004F7C1E" w:rsidRDefault="004F7C1E" w:rsidP="004F7C1E">
      <w:pPr>
        <w:pStyle w:val="NormalWeb"/>
        <w:numPr>
          <w:ilvl w:val="0"/>
          <w:numId w:val="18"/>
        </w:numPr>
      </w:pPr>
      <w:bookmarkStart w:id="13" w:name="_Toc144203934"/>
      <w:bookmarkStart w:id="14" w:name="_Toc144316963"/>
      <w:r>
        <w:t>SAP template (including objectives, endpoints, statistical methods, handling of missing data).</w:t>
      </w:r>
    </w:p>
    <w:p w14:paraId="6942AD84" w14:textId="77777777" w:rsidR="004F7C1E" w:rsidRDefault="004F7C1E" w:rsidP="004F7C1E">
      <w:pPr>
        <w:pStyle w:val="NormalWeb"/>
        <w:numPr>
          <w:ilvl w:val="0"/>
          <w:numId w:val="18"/>
        </w:numPr>
      </w:pPr>
      <w:r>
        <w:t>Version-control system (Git, institutional repository).</w:t>
      </w:r>
    </w:p>
    <w:p w14:paraId="3E077EC4" w14:textId="77777777" w:rsidR="004F7C1E" w:rsidRDefault="004F7C1E" w:rsidP="004F7C1E">
      <w:pPr>
        <w:pStyle w:val="NormalWeb"/>
        <w:numPr>
          <w:ilvl w:val="0"/>
          <w:numId w:val="18"/>
        </w:numPr>
      </w:pPr>
      <w:r>
        <w:t>Approval form.</w:t>
      </w:r>
    </w:p>
    <w:p w14:paraId="5DA3612C" w14:textId="50717F7A" w:rsidR="00BE6611" w:rsidRDefault="00A430C0" w:rsidP="002435E5">
      <w:pPr>
        <w:pStyle w:val="Heading1"/>
      </w:pPr>
      <w:r w:rsidRPr="00E1792A">
        <w:t>PROCEDURE</w:t>
      </w:r>
      <w:bookmarkEnd w:id="13"/>
      <w:bookmarkEnd w:id="14"/>
    </w:p>
    <w:p w14:paraId="357D0230" w14:textId="77777777" w:rsidR="004F7C1E" w:rsidRDefault="004F7C1E" w:rsidP="004F7C1E">
      <w:pPr>
        <w:pStyle w:val="NormalWeb"/>
        <w:numPr>
          <w:ilvl w:val="0"/>
          <w:numId w:val="19"/>
        </w:numPr>
      </w:pPr>
      <w:r>
        <w:rPr>
          <w:rStyle w:val="Strong"/>
        </w:rPr>
        <w:t>Drafting:</w:t>
      </w:r>
      <w:r>
        <w:t xml:space="preserve"> PI, with DS&amp;AS, drafts SAP based on approved protocol.</w:t>
      </w:r>
    </w:p>
    <w:p w14:paraId="17C9B0C0" w14:textId="3A61A37F" w:rsidR="004F7C1E" w:rsidRDefault="004F7C1E" w:rsidP="004F7C1E">
      <w:pPr>
        <w:pStyle w:val="NormalWeb"/>
        <w:numPr>
          <w:ilvl w:val="0"/>
          <w:numId w:val="19"/>
        </w:numPr>
      </w:pPr>
      <w:r>
        <w:rPr>
          <w:rStyle w:val="Strong"/>
        </w:rPr>
        <w:t>Review:</w:t>
      </w:r>
      <w:r>
        <w:t xml:space="preserve"> </w:t>
      </w:r>
      <w:r w:rsidR="00C24CD0">
        <w:t>A senior statistician for methodological soundness reviews SAP</w:t>
      </w:r>
      <w:r>
        <w:t>.</w:t>
      </w:r>
    </w:p>
    <w:p w14:paraId="2F8E69E7" w14:textId="77777777" w:rsidR="004F7C1E" w:rsidRDefault="004F7C1E" w:rsidP="004F7C1E">
      <w:pPr>
        <w:pStyle w:val="NormalWeb"/>
        <w:numPr>
          <w:ilvl w:val="0"/>
          <w:numId w:val="19"/>
        </w:numPr>
      </w:pPr>
      <w:r>
        <w:rPr>
          <w:rStyle w:val="Strong"/>
        </w:rPr>
        <w:t>Approval:</w:t>
      </w:r>
      <w:r>
        <w:t xml:space="preserve"> Head of DS&amp;AS signs off before analysis begins.</w:t>
      </w:r>
    </w:p>
    <w:p w14:paraId="05818695" w14:textId="77777777" w:rsidR="004F7C1E" w:rsidRDefault="004F7C1E" w:rsidP="004F7C1E">
      <w:pPr>
        <w:pStyle w:val="NormalWeb"/>
        <w:numPr>
          <w:ilvl w:val="0"/>
          <w:numId w:val="19"/>
        </w:numPr>
      </w:pPr>
      <w:proofErr w:type="gramStart"/>
      <w:r>
        <w:rPr>
          <w:rStyle w:val="Strong"/>
        </w:rPr>
        <w:t>Archiving:</w:t>
      </w:r>
      <w:proofErr w:type="gramEnd"/>
      <w:r>
        <w:t xml:space="preserve"> SAP stored in central repository with version history.</w:t>
      </w:r>
    </w:p>
    <w:p w14:paraId="5514B66E" w14:textId="77777777" w:rsidR="004F7C1E" w:rsidRDefault="004F7C1E" w:rsidP="004F7C1E">
      <w:pPr>
        <w:pStyle w:val="NormalWeb"/>
        <w:numPr>
          <w:ilvl w:val="0"/>
          <w:numId w:val="19"/>
        </w:numPr>
      </w:pPr>
      <w:r>
        <w:rPr>
          <w:rStyle w:val="Strong"/>
        </w:rPr>
        <w:t>Amendments:</w:t>
      </w:r>
      <w:r>
        <w:t xml:space="preserve"> Any updates must be justified, documented, and re-approved.</w:t>
      </w:r>
    </w:p>
    <w:p w14:paraId="16A76B90" w14:textId="77777777" w:rsidR="004F7C1E" w:rsidRDefault="004F7C1E" w:rsidP="004F7C1E">
      <w:pPr>
        <w:pStyle w:val="NormalWeb"/>
        <w:numPr>
          <w:ilvl w:val="0"/>
          <w:numId w:val="19"/>
        </w:numPr>
      </w:pPr>
      <w:r>
        <w:rPr>
          <w:rStyle w:val="Strong"/>
        </w:rPr>
        <w:t>Link to Publication:</w:t>
      </w:r>
      <w:r>
        <w:t xml:space="preserve"> No results </w:t>
      </w:r>
      <w:proofErr w:type="gramStart"/>
      <w:r>
        <w:t>may be published</w:t>
      </w:r>
      <w:proofErr w:type="gramEnd"/>
      <w:r>
        <w:t xml:space="preserve"> without a corresponding approved SAP.</w:t>
      </w:r>
    </w:p>
    <w:p w14:paraId="2D343F9E" w14:textId="77777777" w:rsidR="002435E5" w:rsidRPr="002435E5" w:rsidRDefault="002435E5" w:rsidP="002435E5"/>
    <w:p w14:paraId="3D02D6C2" w14:textId="1D9131A2" w:rsidR="00B759DA" w:rsidRPr="00E1792A" w:rsidRDefault="007F2FA3" w:rsidP="00E369A4">
      <w:pPr>
        <w:pStyle w:val="Heading1"/>
        <w:spacing w:before="240"/>
        <w:rPr>
          <w:szCs w:val="24"/>
        </w:rPr>
      </w:pPr>
      <w:bookmarkStart w:id="15" w:name="_Toc144316964"/>
      <w:r w:rsidRPr="00E1792A">
        <w:rPr>
          <w:szCs w:val="24"/>
        </w:rPr>
        <w:t>REFERENCES</w:t>
      </w:r>
      <w:bookmarkEnd w:id="15"/>
    </w:p>
    <w:p w14:paraId="6EDA5853" w14:textId="7FFD9B99" w:rsidR="005F75D1" w:rsidRDefault="002435E5" w:rsidP="004F7C1E">
      <w:pPr>
        <w:pStyle w:val="ListParagraph"/>
        <w:ind w:left="0"/>
      </w:pPr>
      <w:r>
        <w:rPr>
          <w:szCs w:val="24"/>
        </w:rPr>
        <w:t xml:space="preserve"> </w:t>
      </w:r>
      <w:bookmarkEnd w:id="3"/>
      <w:r w:rsidR="00C24CD0">
        <w:rPr>
          <w:szCs w:val="24"/>
        </w:rPr>
        <w:t>To be provided later</w:t>
      </w:r>
      <w:bookmarkStart w:id="16" w:name="_GoBack"/>
      <w:bookmarkEnd w:id="16"/>
    </w:p>
    <w:p w14:paraId="2B4EDB42" w14:textId="77777777" w:rsidR="004214D4" w:rsidRPr="00E1792A" w:rsidRDefault="004214D4" w:rsidP="00C04C44">
      <w:pPr>
        <w:spacing w:after="160" w:line="259" w:lineRule="auto"/>
        <w:ind w:left="0" w:right="0" w:firstLine="0"/>
        <w:rPr>
          <w:szCs w:val="24"/>
        </w:rPr>
      </w:pPr>
    </w:p>
    <w:sectPr w:rsidR="004214D4" w:rsidRPr="00E1792A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6BBD9F" w14:textId="77777777" w:rsidR="003E6EC3" w:rsidRDefault="003E6EC3">
      <w:pPr>
        <w:spacing w:after="0" w:line="240" w:lineRule="auto"/>
      </w:pPr>
      <w:r>
        <w:separator/>
      </w:r>
    </w:p>
  </w:endnote>
  <w:endnote w:type="continuationSeparator" w:id="0">
    <w:p w14:paraId="65D2AB51" w14:textId="77777777" w:rsidR="003E6EC3" w:rsidRDefault="003E6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24CD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24CD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F12BE3" w14:textId="77777777" w:rsidR="003E6EC3" w:rsidRDefault="003E6EC3">
      <w:pPr>
        <w:spacing w:after="0" w:line="240" w:lineRule="auto"/>
      </w:pPr>
      <w:r>
        <w:separator/>
      </w:r>
    </w:p>
  </w:footnote>
  <w:footnote w:type="continuationSeparator" w:id="0">
    <w:p w14:paraId="31B02013" w14:textId="77777777" w:rsidR="003E6EC3" w:rsidRDefault="003E6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F75A4D"/>
    <w:multiLevelType w:val="multilevel"/>
    <w:tmpl w:val="F7BA6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B6C4C"/>
    <w:multiLevelType w:val="multilevel"/>
    <w:tmpl w:val="B788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E6C91"/>
    <w:multiLevelType w:val="multilevel"/>
    <w:tmpl w:val="A9DE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D14DB"/>
    <w:multiLevelType w:val="multilevel"/>
    <w:tmpl w:val="7D54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46612"/>
    <w:multiLevelType w:val="multilevel"/>
    <w:tmpl w:val="277AE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EA3951"/>
    <w:multiLevelType w:val="multilevel"/>
    <w:tmpl w:val="11F6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574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A2972E0"/>
    <w:multiLevelType w:val="multilevel"/>
    <w:tmpl w:val="953E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8434E23"/>
    <w:multiLevelType w:val="multilevel"/>
    <w:tmpl w:val="C7F2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C394E"/>
    <w:multiLevelType w:val="multilevel"/>
    <w:tmpl w:val="3C22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7" w15:restartNumberingAfterBreak="0">
    <w:nsid w:val="772F083D"/>
    <w:multiLevelType w:val="multilevel"/>
    <w:tmpl w:val="9F28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775434E6"/>
    <w:multiLevelType w:val="multilevel"/>
    <w:tmpl w:val="4B2A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9131769"/>
    <w:multiLevelType w:val="multilevel"/>
    <w:tmpl w:val="B25E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2"/>
    </w:lvlOverride>
  </w:num>
  <w:num w:numId="4">
    <w:abstractNumId w:val="13"/>
  </w:num>
  <w:num w:numId="5">
    <w:abstractNumId w:val="18"/>
  </w:num>
  <w:num w:numId="6">
    <w:abstractNumId w:val="15"/>
  </w:num>
  <w:num w:numId="7">
    <w:abstractNumId w:val="7"/>
    <w:lvlOverride w:ilvl="0">
      <w:startOverride w:val="1"/>
    </w:lvlOverride>
  </w:num>
  <w:num w:numId="8">
    <w:abstractNumId w:val="10"/>
  </w:num>
  <w:num w:numId="9">
    <w:abstractNumId w:val="9"/>
  </w:num>
  <w:num w:numId="10">
    <w:abstractNumId w:val="12"/>
  </w:num>
  <w:num w:numId="11">
    <w:abstractNumId w:val="16"/>
  </w:num>
  <w:num w:numId="12">
    <w:abstractNumId w:val="21"/>
  </w:num>
  <w:num w:numId="13">
    <w:abstractNumId w:val="11"/>
  </w:num>
  <w:num w:numId="14">
    <w:abstractNumId w:val="14"/>
  </w:num>
  <w:num w:numId="15">
    <w:abstractNumId w:val="8"/>
  </w:num>
  <w:num w:numId="16">
    <w:abstractNumId w:val="4"/>
  </w:num>
  <w:num w:numId="17">
    <w:abstractNumId w:val="17"/>
  </w:num>
  <w:num w:numId="18">
    <w:abstractNumId w:val="6"/>
  </w:num>
  <w:num w:numId="19">
    <w:abstractNumId w:val="1"/>
  </w:num>
  <w:num w:numId="20">
    <w:abstractNumId w:val="2"/>
  </w:num>
  <w:num w:numId="21">
    <w:abstractNumId w:val="3"/>
  </w:num>
  <w:num w:numId="22">
    <w:abstractNumId w:val="19"/>
  </w:num>
  <w:num w:numId="23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36001"/>
    <w:rsid w:val="000538AB"/>
    <w:rsid w:val="00054F3F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731DF"/>
    <w:rsid w:val="00174097"/>
    <w:rsid w:val="00180BB1"/>
    <w:rsid w:val="00183011"/>
    <w:rsid w:val="0018388F"/>
    <w:rsid w:val="00184BFA"/>
    <w:rsid w:val="00187DDD"/>
    <w:rsid w:val="0019722A"/>
    <w:rsid w:val="001A0E87"/>
    <w:rsid w:val="001B0B75"/>
    <w:rsid w:val="001B25DD"/>
    <w:rsid w:val="001D06F0"/>
    <w:rsid w:val="001E2093"/>
    <w:rsid w:val="00202696"/>
    <w:rsid w:val="00204D90"/>
    <w:rsid w:val="00205F75"/>
    <w:rsid w:val="002105F9"/>
    <w:rsid w:val="002120A4"/>
    <w:rsid w:val="0021357A"/>
    <w:rsid w:val="00213F5B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302411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85473"/>
    <w:rsid w:val="00390470"/>
    <w:rsid w:val="00392EC2"/>
    <w:rsid w:val="0039643F"/>
    <w:rsid w:val="003C630C"/>
    <w:rsid w:val="003C7B18"/>
    <w:rsid w:val="003D1661"/>
    <w:rsid w:val="003E2261"/>
    <w:rsid w:val="003E6EC3"/>
    <w:rsid w:val="003F193E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4F7C1E"/>
    <w:rsid w:val="00514A81"/>
    <w:rsid w:val="00514CB0"/>
    <w:rsid w:val="00521B83"/>
    <w:rsid w:val="00522091"/>
    <w:rsid w:val="0053193F"/>
    <w:rsid w:val="00540961"/>
    <w:rsid w:val="0055410B"/>
    <w:rsid w:val="005648A2"/>
    <w:rsid w:val="0057101F"/>
    <w:rsid w:val="005A0490"/>
    <w:rsid w:val="005A6BBB"/>
    <w:rsid w:val="005B0652"/>
    <w:rsid w:val="005D251A"/>
    <w:rsid w:val="005D3141"/>
    <w:rsid w:val="005D336C"/>
    <w:rsid w:val="005D5AB8"/>
    <w:rsid w:val="005E75C7"/>
    <w:rsid w:val="005F2E98"/>
    <w:rsid w:val="005F75D1"/>
    <w:rsid w:val="00632A3F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32E9C"/>
    <w:rsid w:val="00836F71"/>
    <w:rsid w:val="00841073"/>
    <w:rsid w:val="00846B02"/>
    <w:rsid w:val="00856A75"/>
    <w:rsid w:val="0085792B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5018"/>
    <w:rsid w:val="009369F0"/>
    <w:rsid w:val="009535AC"/>
    <w:rsid w:val="00957A34"/>
    <w:rsid w:val="00960A47"/>
    <w:rsid w:val="00963DF9"/>
    <w:rsid w:val="00976216"/>
    <w:rsid w:val="00980DCD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F0865"/>
    <w:rsid w:val="00A014E6"/>
    <w:rsid w:val="00A03278"/>
    <w:rsid w:val="00A3241D"/>
    <w:rsid w:val="00A3567D"/>
    <w:rsid w:val="00A41052"/>
    <w:rsid w:val="00A430C0"/>
    <w:rsid w:val="00A51C24"/>
    <w:rsid w:val="00A70222"/>
    <w:rsid w:val="00A731C5"/>
    <w:rsid w:val="00A737D5"/>
    <w:rsid w:val="00A96A72"/>
    <w:rsid w:val="00A97E71"/>
    <w:rsid w:val="00AA04C4"/>
    <w:rsid w:val="00AA651E"/>
    <w:rsid w:val="00AA6AB4"/>
    <w:rsid w:val="00AB562B"/>
    <w:rsid w:val="00AD72BF"/>
    <w:rsid w:val="00AE1650"/>
    <w:rsid w:val="00AF28B5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41B3"/>
    <w:rsid w:val="00BD625C"/>
    <w:rsid w:val="00BE05C1"/>
    <w:rsid w:val="00BE3EAF"/>
    <w:rsid w:val="00BE6611"/>
    <w:rsid w:val="00C003BA"/>
    <w:rsid w:val="00C04C44"/>
    <w:rsid w:val="00C06696"/>
    <w:rsid w:val="00C07B01"/>
    <w:rsid w:val="00C24CD0"/>
    <w:rsid w:val="00C35EDD"/>
    <w:rsid w:val="00C3629C"/>
    <w:rsid w:val="00C514C7"/>
    <w:rsid w:val="00C53D18"/>
    <w:rsid w:val="00C72EA8"/>
    <w:rsid w:val="00CA3FAC"/>
    <w:rsid w:val="00CA7406"/>
    <w:rsid w:val="00CC1C09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C67"/>
    <w:rsid w:val="00DC6541"/>
    <w:rsid w:val="00DE2247"/>
    <w:rsid w:val="00DE22BA"/>
    <w:rsid w:val="00DF1944"/>
    <w:rsid w:val="00DF6DA2"/>
    <w:rsid w:val="00E0617E"/>
    <w:rsid w:val="00E073DC"/>
    <w:rsid w:val="00E1792A"/>
    <w:rsid w:val="00E3530E"/>
    <w:rsid w:val="00E369A4"/>
    <w:rsid w:val="00E42178"/>
    <w:rsid w:val="00E44794"/>
    <w:rsid w:val="00E57390"/>
    <w:rsid w:val="00E6072A"/>
    <w:rsid w:val="00E80639"/>
    <w:rsid w:val="00E80C7E"/>
    <w:rsid w:val="00E830F4"/>
    <w:rsid w:val="00E972A0"/>
    <w:rsid w:val="00E9747F"/>
    <w:rsid w:val="00E976C3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ind w:left="43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B63EA-5E3A-422B-9765-8FEE02EE1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KEMRI/WHO</vt:lpstr>
    </vt:vector>
  </TitlesOfParts>
  <Company>Deftones</Company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Peter Kingori</dc:creator>
  <cp:lastModifiedBy>Patrick Mwaura</cp:lastModifiedBy>
  <cp:revision>7</cp:revision>
  <cp:lastPrinted>2025-10-06T16:19:00Z</cp:lastPrinted>
  <dcterms:created xsi:type="dcterms:W3CDTF">2025-10-06T09:23:00Z</dcterms:created>
  <dcterms:modified xsi:type="dcterms:W3CDTF">2025-10-06T16:19:00Z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