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623968FB" w:rsidR="008B5059" w:rsidRPr="0013726F" w:rsidRDefault="00CC69FE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4"/>
        </w:rPr>
        <w:t>Reporting research r</w:t>
      </w:r>
      <w:r w:rsidR="0013726F" w:rsidRPr="0013726F">
        <w:rPr>
          <w:rStyle w:val="Strong"/>
          <w:bCs w:val="0"/>
          <w:sz w:val="44"/>
        </w:rPr>
        <w:t>esults</w:t>
      </w:r>
      <w:r w:rsidR="0013726F" w:rsidRPr="0013726F">
        <w:rPr>
          <w:color w:val="000000" w:themeColor="text1"/>
          <w:sz w:val="44"/>
          <w:szCs w:val="24"/>
        </w:rPr>
        <w:t xml:space="preserve"> </w:t>
      </w:r>
      <w:r w:rsidR="008B5059" w:rsidRPr="0013726F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2B6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585F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2B6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585F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2B6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585F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2B6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585F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2B6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585F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2B6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585F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DC2B69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3ABD5338" w14:textId="39AAFE9D" w:rsidR="0013726F" w:rsidRPr="00E1792A" w:rsidRDefault="002435E5" w:rsidP="00BD41B3">
      <w:pPr>
        <w:pStyle w:val="NormalWeb"/>
      </w:pPr>
      <w:r>
        <w:t xml:space="preserve"> </w:t>
      </w:r>
      <w:r w:rsidR="0013726F">
        <w:t xml:space="preserve">To standardize the reporting of research results across Word documents, </w:t>
      </w:r>
      <w:proofErr w:type="spellStart"/>
      <w:r w:rsidR="0013726F">
        <w:t>LaTeX</w:t>
      </w:r>
      <w:proofErr w:type="spellEnd"/>
      <w:r w:rsidR="0013726F">
        <w:t>/Overleaf outputs, PDFs, figures, and dashboards, ensuring clarity, reproducibility, and alignment with institutional/national guidelines.</w:t>
      </w:r>
    </w:p>
    <w:p w14:paraId="76DFE932" w14:textId="77777777" w:rsidR="00D0679E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p w14:paraId="6589443E" w14:textId="77777777" w:rsidR="0013726F" w:rsidRDefault="0013726F" w:rsidP="0013726F">
      <w:pPr>
        <w:pStyle w:val="NormalWeb"/>
      </w:pPr>
      <w:bookmarkStart w:id="8" w:name="_Toc144203932"/>
      <w:bookmarkStart w:id="9" w:name="_Toc144316960"/>
      <w:bookmarkEnd w:id="6"/>
      <w:bookmarkEnd w:id="7"/>
      <w:r>
        <w:t>Applies to all DS&amp;AS-supported projects from analysis completion to dissemination (internal reports, publications, dashboards).</w:t>
      </w:r>
    </w:p>
    <w:p w14:paraId="2A50F2FB" w14:textId="77777777" w:rsidR="00A430C0" w:rsidRPr="00E1792A" w:rsidRDefault="00A430C0" w:rsidP="00A430C0">
      <w:pPr>
        <w:pStyle w:val="Heading1"/>
      </w:pPr>
      <w:r w:rsidRPr="00E1792A">
        <w:t>PERSONS RESPONSIBLE:</w:t>
      </w:r>
      <w:bookmarkEnd w:id="8"/>
      <w:bookmarkEnd w:id="9"/>
      <w:r w:rsidRPr="00E1792A">
        <w:t xml:space="preserve"> </w:t>
      </w:r>
    </w:p>
    <w:p w14:paraId="76592251" w14:textId="77777777" w:rsidR="0013726F" w:rsidRDefault="0013726F" w:rsidP="0013726F">
      <w:pPr>
        <w:pStyle w:val="NormalWeb"/>
        <w:numPr>
          <w:ilvl w:val="0"/>
          <w:numId w:val="20"/>
        </w:numPr>
      </w:pPr>
      <w:bookmarkStart w:id="10" w:name="_Toc144203933"/>
      <w:bookmarkStart w:id="11" w:name="_Toc144316961"/>
      <w:r>
        <w:rPr>
          <w:rStyle w:val="Strong"/>
        </w:rPr>
        <w:t>DS&amp;AS Analyst/Statistician:</w:t>
      </w:r>
      <w:r>
        <w:t xml:space="preserve"> Prepares tables, figures, and dashboards.</w:t>
      </w:r>
    </w:p>
    <w:p w14:paraId="54867AC8" w14:textId="77777777" w:rsidR="0013726F" w:rsidRDefault="0013726F" w:rsidP="0013726F">
      <w:pPr>
        <w:pStyle w:val="NormalWeb"/>
        <w:numPr>
          <w:ilvl w:val="0"/>
          <w:numId w:val="20"/>
        </w:numPr>
      </w:pPr>
      <w:r>
        <w:rPr>
          <w:rStyle w:val="Strong"/>
        </w:rPr>
        <w:t>PI:</w:t>
      </w:r>
      <w:r>
        <w:t xml:space="preserve"> Drafts narrative and integrates results into manuscripts/reports.</w:t>
      </w:r>
    </w:p>
    <w:p w14:paraId="46212026" w14:textId="77777777" w:rsidR="0013726F" w:rsidRDefault="0013726F" w:rsidP="0013726F">
      <w:pPr>
        <w:pStyle w:val="NormalWeb"/>
        <w:numPr>
          <w:ilvl w:val="0"/>
          <w:numId w:val="20"/>
        </w:numPr>
      </w:pPr>
      <w:r>
        <w:rPr>
          <w:rStyle w:val="Strong"/>
        </w:rPr>
        <w:t>Head of DS&amp;AS:</w:t>
      </w:r>
      <w:r>
        <w:t xml:space="preserve"> Reviews outputs for accuracy and compliance.</w:t>
      </w:r>
    </w:p>
    <w:p w14:paraId="7BAC35F7" w14:textId="6EF80865" w:rsidR="00A430C0" w:rsidRPr="00E1792A" w:rsidRDefault="00A430C0" w:rsidP="00D0679E">
      <w:pPr>
        <w:pStyle w:val="Heading1"/>
      </w:pPr>
      <w:r w:rsidRPr="00E1792A">
        <w:t>FREQUENCY</w:t>
      </w:r>
      <w:bookmarkEnd w:id="10"/>
      <w:bookmarkEnd w:id="11"/>
    </w:p>
    <w:p w14:paraId="62B8FE65" w14:textId="77777777" w:rsidR="0013726F" w:rsidRDefault="0013726F" w:rsidP="0013726F">
      <w:pPr>
        <w:pStyle w:val="NormalWeb"/>
        <w:numPr>
          <w:ilvl w:val="0"/>
          <w:numId w:val="21"/>
        </w:numPr>
      </w:pPr>
      <w:bookmarkStart w:id="12" w:name="_Toc144316962"/>
      <w:r>
        <w:rPr>
          <w:rStyle w:val="Strong"/>
        </w:rPr>
        <w:t>At study completion</w:t>
      </w:r>
      <w:r>
        <w:t xml:space="preserve"> – For final reports/publications.</w:t>
      </w:r>
    </w:p>
    <w:p w14:paraId="6E0447D9" w14:textId="77777777" w:rsidR="0013726F" w:rsidRDefault="0013726F" w:rsidP="0013726F">
      <w:pPr>
        <w:pStyle w:val="NormalWeb"/>
        <w:numPr>
          <w:ilvl w:val="0"/>
          <w:numId w:val="21"/>
        </w:numPr>
      </w:pPr>
      <w:r>
        <w:rPr>
          <w:rStyle w:val="Strong"/>
        </w:rPr>
        <w:t>Interim analyses</w:t>
      </w:r>
      <w:r>
        <w:t xml:space="preserve"> – When requested by PI or sponsor.</w:t>
      </w:r>
    </w:p>
    <w:p w14:paraId="147A56C9" w14:textId="34869643" w:rsidR="00EF6627" w:rsidRDefault="00EF6627" w:rsidP="00EF6627">
      <w:pPr>
        <w:pStyle w:val="Heading1"/>
      </w:pPr>
      <w:r>
        <w:t>MATERIALS</w:t>
      </w:r>
      <w:bookmarkEnd w:id="12"/>
    </w:p>
    <w:p w14:paraId="30424B8C" w14:textId="6ED8B274" w:rsidR="0013726F" w:rsidRDefault="0013726F" w:rsidP="0013726F">
      <w:pPr>
        <w:pStyle w:val="NormalWeb"/>
        <w:numPr>
          <w:ilvl w:val="0"/>
          <w:numId w:val="22"/>
        </w:numPr>
      </w:pPr>
      <w:bookmarkStart w:id="13" w:name="_Toc144203934"/>
      <w:bookmarkStart w:id="14" w:name="_Toc144316963"/>
      <w:r>
        <w:t>Reporting templates (Word, Latex/Overleaf).</w:t>
      </w:r>
    </w:p>
    <w:p w14:paraId="7A5909BB" w14:textId="77777777" w:rsidR="0013726F" w:rsidRDefault="0013726F" w:rsidP="0013726F">
      <w:pPr>
        <w:pStyle w:val="NormalWeb"/>
        <w:numPr>
          <w:ilvl w:val="0"/>
          <w:numId w:val="22"/>
        </w:numPr>
      </w:pPr>
      <w:r>
        <w:t>Statistical software (R, SAS, Python).</w:t>
      </w:r>
    </w:p>
    <w:p w14:paraId="44D73CE6" w14:textId="5B12D000" w:rsidR="0013726F" w:rsidRDefault="0013726F" w:rsidP="0013726F">
      <w:pPr>
        <w:pStyle w:val="NormalWeb"/>
        <w:numPr>
          <w:ilvl w:val="0"/>
          <w:numId w:val="22"/>
        </w:numPr>
      </w:pPr>
      <w:r>
        <w:t>Visualizations tools (Custom plots, Tableau, Shiny dashboards any other).</w:t>
      </w:r>
    </w:p>
    <w:p w14:paraId="10482809" w14:textId="77777777" w:rsidR="0013726F" w:rsidRDefault="0013726F" w:rsidP="0013726F">
      <w:pPr>
        <w:pStyle w:val="NormalWeb"/>
        <w:numPr>
          <w:ilvl w:val="0"/>
          <w:numId w:val="22"/>
        </w:numPr>
      </w:pPr>
      <w:r>
        <w:t>Institutional data sharing and publication guidelines.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3"/>
      <w:bookmarkEnd w:id="14"/>
    </w:p>
    <w:p w14:paraId="1FC5CA20" w14:textId="77777777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Data Validation:</w:t>
      </w:r>
      <w:r>
        <w:t xml:space="preserve"> DS&amp;AS verifies dataset integrity before reporting.</w:t>
      </w:r>
    </w:p>
    <w:p w14:paraId="01E7FDA8" w14:textId="77777777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Draft Outputs:</w:t>
      </w:r>
      <w:r>
        <w:t xml:space="preserve"> Generate statistical tables, graphs, and dashboards using reproducible scripts.</w:t>
      </w:r>
    </w:p>
    <w:p w14:paraId="3BFAB9D9" w14:textId="4A102720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Formatting:</w:t>
      </w:r>
      <w:r>
        <w:t xml:space="preserve"> Apply standard templates for Word/Latex outputs.</w:t>
      </w:r>
    </w:p>
    <w:p w14:paraId="1CB88CEF" w14:textId="77777777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Internal Review:</w:t>
      </w:r>
      <w:r>
        <w:t xml:space="preserve"> PI and Head of DS&amp;AS review outputs for accuracy and compliance.</w:t>
      </w:r>
    </w:p>
    <w:p w14:paraId="6F0361CC" w14:textId="7315ACB1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Finalization:</w:t>
      </w:r>
      <w:r>
        <w:t xml:space="preserve"> Export reports</w:t>
      </w:r>
      <w:r w:rsidR="00182252">
        <w:t xml:space="preserve"> in required formats (Word, </w:t>
      </w:r>
      <w:r>
        <w:t>Latex, dashboards).</w:t>
      </w:r>
    </w:p>
    <w:p w14:paraId="079F2AA4" w14:textId="77777777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Archiving:</w:t>
      </w:r>
      <w:r>
        <w:t xml:space="preserve"> Store final outputs in project repository with metadata and version tags.</w:t>
      </w:r>
    </w:p>
    <w:p w14:paraId="01FB4655" w14:textId="00339CB0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Dissemination:</w:t>
      </w:r>
      <w:r>
        <w:t xml:space="preserve"> Share with stakeholders (journals, funders, dashboards).</w:t>
      </w:r>
    </w:p>
    <w:p w14:paraId="414E88E0" w14:textId="77777777" w:rsidR="0013726F" w:rsidRDefault="0013726F" w:rsidP="0013726F">
      <w:pPr>
        <w:pStyle w:val="NormalWeb"/>
      </w:pPr>
    </w:p>
    <w:p w14:paraId="7CE5D263" w14:textId="77777777" w:rsidR="0013726F" w:rsidRPr="002435E5" w:rsidRDefault="0013726F" w:rsidP="0013726F">
      <w:pPr>
        <w:pStyle w:val="NormalWeb"/>
      </w:pPr>
    </w:p>
    <w:p w14:paraId="3D02D6C2" w14:textId="6FE6EFBD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15"/>
    </w:p>
    <w:p w14:paraId="2B4EDB42" w14:textId="114EAF2D" w:rsidR="004214D4" w:rsidRPr="0013726F" w:rsidRDefault="002435E5" w:rsidP="0013726F">
      <w:pPr>
        <w:pStyle w:val="ListParagraph"/>
        <w:ind w:left="0"/>
      </w:pPr>
      <w:r>
        <w:rPr>
          <w:szCs w:val="24"/>
        </w:rPr>
        <w:t xml:space="preserve"> </w:t>
      </w:r>
      <w:bookmarkEnd w:id="3"/>
      <w:r w:rsidR="008E7E51">
        <w:rPr>
          <w:szCs w:val="24"/>
        </w:rPr>
        <w:t>To be provided</w:t>
      </w:r>
      <w:bookmarkStart w:id="16" w:name="_GoBack"/>
      <w:bookmarkEnd w:id="16"/>
    </w:p>
    <w:sectPr w:rsidR="004214D4" w:rsidRPr="0013726F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2E4E6" w14:textId="77777777" w:rsidR="00585FDD" w:rsidRDefault="00585FDD">
      <w:pPr>
        <w:spacing w:after="0" w:line="240" w:lineRule="auto"/>
      </w:pPr>
      <w:r>
        <w:separator/>
      </w:r>
    </w:p>
  </w:endnote>
  <w:endnote w:type="continuationSeparator" w:id="0">
    <w:p w14:paraId="429C7F3B" w14:textId="77777777" w:rsidR="00585FDD" w:rsidRDefault="0058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C2B6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C2B6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DB91A" w14:textId="77777777" w:rsidR="00585FDD" w:rsidRDefault="00585FDD">
      <w:pPr>
        <w:spacing w:after="0" w:line="240" w:lineRule="auto"/>
      </w:pPr>
      <w:r>
        <w:separator/>
      </w:r>
    </w:p>
  </w:footnote>
  <w:footnote w:type="continuationSeparator" w:id="0">
    <w:p w14:paraId="49522A21" w14:textId="77777777" w:rsidR="00585FDD" w:rsidRDefault="00585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75A4D"/>
    <w:multiLevelType w:val="multilevel"/>
    <w:tmpl w:val="F7BA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6C4C"/>
    <w:multiLevelType w:val="multilevel"/>
    <w:tmpl w:val="B78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E6C91"/>
    <w:multiLevelType w:val="multilevel"/>
    <w:tmpl w:val="A9D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D14DB"/>
    <w:multiLevelType w:val="multilevel"/>
    <w:tmpl w:val="7D5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6612"/>
    <w:multiLevelType w:val="multilevel"/>
    <w:tmpl w:val="277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3951"/>
    <w:multiLevelType w:val="multilevel"/>
    <w:tmpl w:val="11F6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2972E0"/>
    <w:multiLevelType w:val="multilevel"/>
    <w:tmpl w:val="953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434E23"/>
    <w:multiLevelType w:val="multilevel"/>
    <w:tmpl w:val="C7F2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C394E"/>
    <w:multiLevelType w:val="multilevel"/>
    <w:tmpl w:val="3C22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772F083D"/>
    <w:multiLevelType w:val="multilevel"/>
    <w:tmpl w:val="9F2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775434E6"/>
    <w:multiLevelType w:val="multilevel"/>
    <w:tmpl w:val="4B2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131769"/>
    <w:multiLevelType w:val="multilevel"/>
    <w:tmpl w:val="B25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2"/>
    </w:lvlOverride>
  </w:num>
  <w:num w:numId="4">
    <w:abstractNumId w:val="13"/>
  </w:num>
  <w:num w:numId="5">
    <w:abstractNumId w:val="18"/>
  </w:num>
  <w:num w:numId="6">
    <w:abstractNumId w:val="15"/>
  </w:num>
  <w:num w:numId="7">
    <w:abstractNumId w:val="7"/>
    <w:lvlOverride w:ilvl="0">
      <w:startOverride w:val="1"/>
    </w:lvlOverride>
  </w:num>
  <w:num w:numId="8">
    <w:abstractNumId w:val="10"/>
  </w:num>
  <w:num w:numId="9">
    <w:abstractNumId w:val="9"/>
  </w:num>
  <w:num w:numId="10">
    <w:abstractNumId w:val="12"/>
  </w:num>
  <w:num w:numId="11">
    <w:abstractNumId w:val="16"/>
  </w:num>
  <w:num w:numId="12">
    <w:abstractNumId w:val="21"/>
  </w:num>
  <w:num w:numId="13">
    <w:abstractNumId w:val="11"/>
  </w:num>
  <w:num w:numId="14">
    <w:abstractNumId w:val="14"/>
  </w:num>
  <w:num w:numId="15">
    <w:abstractNumId w:val="8"/>
  </w:num>
  <w:num w:numId="16">
    <w:abstractNumId w:val="4"/>
  </w:num>
  <w:num w:numId="17">
    <w:abstractNumId w:val="17"/>
  </w:num>
  <w:num w:numId="18">
    <w:abstractNumId w:val="6"/>
  </w:num>
  <w:num w:numId="19">
    <w:abstractNumId w:val="1"/>
  </w:num>
  <w:num w:numId="20">
    <w:abstractNumId w:val="2"/>
  </w:num>
  <w:num w:numId="21">
    <w:abstractNumId w:val="3"/>
  </w:num>
  <w:num w:numId="22">
    <w:abstractNumId w:val="19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36001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3726F"/>
    <w:rsid w:val="001411C2"/>
    <w:rsid w:val="00143D88"/>
    <w:rsid w:val="00156214"/>
    <w:rsid w:val="001731DF"/>
    <w:rsid w:val="00174097"/>
    <w:rsid w:val="00180BB1"/>
    <w:rsid w:val="00182252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D20F4"/>
    <w:rsid w:val="003D2EE6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4F7C1E"/>
    <w:rsid w:val="00514CB0"/>
    <w:rsid w:val="00521B83"/>
    <w:rsid w:val="00522091"/>
    <w:rsid w:val="0053193F"/>
    <w:rsid w:val="00540961"/>
    <w:rsid w:val="0055410B"/>
    <w:rsid w:val="0057101F"/>
    <w:rsid w:val="00585FDD"/>
    <w:rsid w:val="005A0490"/>
    <w:rsid w:val="005A6BBB"/>
    <w:rsid w:val="005B0652"/>
    <w:rsid w:val="005C03BD"/>
    <w:rsid w:val="005D251A"/>
    <w:rsid w:val="005D3141"/>
    <w:rsid w:val="005D336C"/>
    <w:rsid w:val="005D5AB8"/>
    <w:rsid w:val="005E75C7"/>
    <w:rsid w:val="005F2E98"/>
    <w:rsid w:val="005F75D1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E7E51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41B3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CC69FE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B69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ind w:left="43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0185-ECFE-4CFE-B104-488D89FDE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4</cp:revision>
  <cp:lastPrinted>2025-10-06T16:21:00Z</cp:lastPrinted>
  <dcterms:created xsi:type="dcterms:W3CDTF">2025-10-06T16:20:00Z</dcterms:created>
  <dcterms:modified xsi:type="dcterms:W3CDTF">2025-10-06T16:23:00Z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