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671"/>
        <w:gridCol w:w="1717"/>
        <w:gridCol w:w="1842"/>
        <w:gridCol w:w="1418"/>
        <w:gridCol w:w="1559"/>
      </w:tblGrid>
      <w:tr w:rsidR="00DF6DA2" w:rsidRPr="00E1792A" w14:paraId="6692C4BE" w14:textId="77777777" w:rsidTr="00B8198B">
        <w:trPr>
          <w:trHeight w:val="738"/>
        </w:trPr>
        <w:tc>
          <w:tcPr>
            <w:tcW w:w="3671"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717"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B8198B">
        <w:trPr>
          <w:trHeight w:val="550"/>
        </w:trPr>
        <w:tc>
          <w:tcPr>
            <w:tcW w:w="3671" w:type="dxa"/>
            <w:vAlign w:val="center"/>
          </w:tcPr>
          <w:p w14:paraId="3DF2FF70" w14:textId="7018E58F" w:rsidR="00DF6DA2" w:rsidRPr="00E1792A" w:rsidRDefault="0039643F" w:rsidP="0039643F">
            <w:pPr>
              <w:spacing w:after="104" w:line="259" w:lineRule="auto"/>
              <w:ind w:left="0" w:right="-27" w:firstLine="0"/>
              <w:jc w:val="center"/>
              <w:rPr>
                <w:b/>
                <w:szCs w:val="24"/>
              </w:rPr>
            </w:pPr>
            <w:r>
              <w:rPr>
                <w:b/>
                <w:szCs w:val="24"/>
              </w:rPr>
              <w:t>SOP</w:t>
            </w:r>
            <w:r w:rsidR="00B8198B">
              <w:rPr>
                <w:b/>
                <w:szCs w:val="24"/>
              </w:rPr>
              <w:t>/KIPRE/RPD/DSAS</w:t>
            </w:r>
            <w:r w:rsidR="00DF6DA2" w:rsidRPr="00E1792A">
              <w:rPr>
                <w:b/>
                <w:szCs w:val="24"/>
              </w:rPr>
              <w:t>/</w:t>
            </w:r>
            <w:r>
              <w:rPr>
                <w:b/>
                <w:szCs w:val="24"/>
                <w:highlight w:val="red"/>
              </w:rPr>
              <w:t>3.1.76</w:t>
            </w:r>
          </w:p>
        </w:tc>
        <w:tc>
          <w:tcPr>
            <w:tcW w:w="1717"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3E656438" w:rsidR="00DF6DA2" w:rsidRPr="00E1792A" w:rsidRDefault="00B8198B" w:rsidP="00B8198B">
            <w:pPr>
              <w:spacing w:after="104" w:line="259" w:lineRule="auto"/>
              <w:ind w:left="0" w:right="-27" w:firstLine="0"/>
              <w:rPr>
                <w:b/>
                <w:szCs w:val="24"/>
              </w:rPr>
            </w:pPr>
            <w:r>
              <w:rPr>
                <w:b/>
                <w:szCs w:val="24"/>
              </w:rPr>
              <w:t>October 6</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54D3F510" w14:textId="0ACDEFB8" w:rsidR="008B5059" w:rsidRPr="00B8198B" w:rsidRDefault="00D41B55" w:rsidP="00E1792A">
      <w:pPr>
        <w:spacing w:after="160" w:line="259" w:lineRule="auto"/>
        <w:ind w:left="0" w:right="0" w:firstLine="0"/>
        <w:jc w:val="center"/>
        <w:rPr>
          <w:b/>
          <w:color w:val="000000" w:themeColor="text1"/>
          <w:szCs w:val="24"/>
        </w:rPr>
      </w:pPr>
      <w:r>
        <w:rPr>
          <w:b/>
          <w:sz w:val="40"/>
        </w:rPr>
        <w:t>Development, review, and updating of DS&amp;AS policies and s</w:t>
      </w:r>
      <w:r w:rsidR="00B8198B" w:rsidRPr="00B8198B">
        <w:rPr>
          <w:b/>
          <w:sz w:val="40"/>
        </w:rPr>
        <w:t>trategies</w:t>
      </w:r>
      <w:r w:rsidR="008B5059" w:rsidRPr="00B8198B">
        <w:rPr>
          <w:b/>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606"/>
        <w:gridCol w:w="2309"/>
      </w:tblGrid>
      <w:tr w:rsidR="00B8198B" w:rsidRPr="00E1792A" w14:paraId="759058CF" w14:textId="77777777" w:rsidTr="00074472">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606" w:type="dxa"/>
          </w:tcPr>
          <w:p w14:paraId="3AEBF61B" w14:textId="77777777" w:rsidR="00D70E34" w:rsidRPr="00E1792A" w:rsidRDefault="00D70E34" w:rsidP="00D70E34">
            <w:pPr>
              <w:rPr>
                <w:b/>
                <w:szCs w:val="24"/>
              </w:rPr>
            </w:pPr>
          </w:p>
        </w:tc>
        <w:tc>
          <w:tcPr>
            <w:tcW w:w="2309" w:type="dxa"/>
          </w:tcPr>
          <w:p w14:paraId="094D4D04" w14:textId="77777777" w:rsidR="00D70E34" w:rsidRPr="00E1792A" w:rsidRDefault="00D70E34" w:rsidP="00D70E34">
            <w:pPr>
              <w:ind w:left="0" w:firstLine="13"/>
              <w:rPr>
                <w:b/>
                <w:szCs w:val="24"/>
              </w:rPr>
            </w:pPr>
          </w:p>
        </w:tc>
      </w:tr>
      <w:tr w:rsidR="00B8198B" w:rsidRPr="00E1792A" w14:paraId="684DF72B" w14:textId="77777777" w:rsidTr="00074472">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606" w:type="dxa"/>
          </w:tcPr>
          <w:p w14:paraId="62EF3C16" w14:textId="77777777" w:rsidR="00D70E34" w:rsidRPr="00E1792A" w:rsidRDefault="00D70E34" w:rsidP="00D70E34">
            <w:pPr>
              <w:rPr>
                <w:b/>
                <w:szCs w:val="24"/>
              </w:rPr>
            </w:pPr>
            <w:r w:rsidRPr="00E1792A">
              <w:rPr>
                <w:b/>
                <w:szCs w:val="24"/>
              </w:rPr>
              <w:t xml:space="preserve">Signature </w:t>
            </w:r>
          </w:p>
        </w:tc>
        <w:tc>
          <w:tcPr>
            <w:tcW w:w="2309" w:type="dxa"/>
          </w:tcPr>
          <w:p w14:paraId="0EE0FCC6" w14:textId="77777777" w:rsidR="00D70E34" w:rsidRPr="00E1792A" w:rsidRDefault="00D70E34" w:rsidP="00D70E34">
            <w:pPr>
              <w:ind w:left="0" w:firstLine="13"/>
              <w:rPr>
                <w:b/>
                <w:szCs w:val="24"/>
              </w:rPr>
            </w:pPr>
            <w:r w:rsidRPr="00E1792A">
              <w:rPr>
                <w:b/>
                <w:szCs w:val="24"/>
              </w:rPr>
              <w:t>Date</w:t>
            </w:r>
          </w:p>
        </w:tc>
      </w:tr>
      <w:tr w:rsidR="00B8198B" w:rsidRPr="00E1792A" w14:paraId="25D23ED5" w14:textId="77777777" w:rsidTr="00074472">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4449343D" w:rsidR="00D70E34" w:rsidRPr="00E1792A" w:rsidRDefault="00B8198B" w:rsidP="00B8198B">
            <w:pPr>
              <w:ind w:left="0"/>
              <w:rPr>
                <w:szCs w:val="24"/>
              </w:rPr>
            </w:pPr>
            <w:r>
              <w:rPr>
                <w:szCs w:val="24"/>
              </w:rPr>
              <w:t>_Patrick Waweru Mwaura_</w:t>
            </w:r>
          </w:p>
        </w:tc>
        <w:tc>
          <w:tcPr>
            <w:tcW w:w="2606" w:type="dxa"/>
          </w:tcPr>
          <w:p w14:paraId="75C64C98" w14:textId="74675F49" w:rsidR="00D70E34" w:rsidRPr="00E1792A" w:rsidRDefault="00B8198B" w:rsidP="00B8198B">
            <w:pPr>
              <w:ind w:left="0"/>
              <w:rPr>
                <w:b/>
                <w:szCs w:val="24"/>
              </w:rPr>
            </w:pPr>
            <w:r>
              <w:rPr>
                <w:b/>
                <w:szCs w:val="24"/>
              </w:rPr>
              <w:t>___________________</w:t>
            </w:r>
          </w:p>
        </w:tc>
        <w:tc>
          <w:tcPr>
            <w:tcW w:w="2309" w:type="dxa"/>
          </w:tcPr>
          <w:p w14:paraId="5896A203" w14:textId="7A145B82" w:rsidR="00D70E34" w:rsidRPr="00E1792A" w:rsidRDefault="00D70E34" w:rsidP="00B8198B">
            <w:pPr>
              <w:ind w:left="0" w:firstLine="13"/>
              <w:rPr>
                <w:b/>
                <w:szCs w:val="24"/>
              </w:rPr>
            </w:pPr>
            <w:r w:rsidRPr="00E1792A">
              <w:rPr>
                <w:b/>
                <w:szCs w:val="24"/>
              </w:rPr>
              <w:t>__</w:t>
            </w:r>
            <w:r w:rsidR="00B8198B">
              <w:rPr>
                <w:b/>
                <w:szCs w:val="24"/>
              </w:rPr>
              <w:t>6</w:t>
            </w:r>
            <w:r w:rsidR="00B8198B" w:rsidRPr="00B8198B">
              <w:rPr>
                <w:b/>
                <w:szCs w:val="24"/>
                <w:vertAlign w:val="superscript"/>
              </w:rPr>
              <w:t>th</w:t>
            </w:r>
            <w:r w:rsidR="00B8198B">
              <w:rPr>
                <w:b/>
                <w:szCs w:val="24"/>
              </w:rPr>
              <w:t xml:space="preserve"> October; 2025_</w:t>
            </w:r>
          </w:p>
        </w:tc>
      </w:tr>
      <w:tr w:rsidR="00B8198B" w:rsidRPr="00E1792A" w14:paraId="50B2267F" w14:textId="77777777" w:rsidTr="00074472">
        <w:trPr>
          <w:trHeight w:val="414"/>
        </w:trPr>
        <w:tc>
          <w:tcPr>
            <w:tcW w:w="1871" w:type="dxa"/>
          </w:tcPr>
          <w:p w14:paraId="0DC140E2" w14:textId="77777777" w:rsidR="00B8198B" w:rsidRPr="00E1792A" w:rsidRDefault="00B8198B" w:rsidP="00D70E34">
            <w:pPr>
              <w:ind w:left="-108"/>
              <w:rPr>
                <w:b/>
                <w:szCs w:val="24"/>
              </w:rPr>
            </w:pPr>
          </w:p>
        </w:tc>
        <w:tc>
          <w:tcPr>
            <w:tcW w:w="2929" w:type="dxa"/>
          </w:tcPr>
          <w:p w14:paraId="49E2C6DD" w14:textId="330587CC" w:rsidR="00B8198B" w:rsidRPr="00E1792A" w:rsidRDefault="00B8198B" w:rsidP="00B8198B">
            <w:pPr>
              <w:spacing w:line="360" w:lineRule="auto"/>
              <w:ind w:left="0" w:right="-108" w:firstLine="0"/>
              <w:rPr>
                <w:szCs w:val="24"/>
              </w:rPr>
            </w:pPr>
            <w:r w:rsidRPr="00E1792A">
              <w:rPr>
                <w:b/>
                <w:szCs w:val="24"/>
              </w:rPr>
              <w:t>____________________</w:t>
            </w:r>
          </w:p>
        </w:tc>
        <w:tc>
          <w:tcPr>
            <w:tcW w:w="2606" w:type="dxa"/>
          </w:tcPr>
          <w:p w14:paraId="1BF3DEEF" w14:textId="77777777" w:rsidR="00B8198B" w:rsidRPr="00E1792A" w:rsidRDefault="00B8198B" w:rsidP="00B8198B">
            <w:pPr>
              <w:spacing w:line="360" w:lineRule="auto"/>
              <w:ind w:left="0" w:right="-108"/>
              <w:rPr>
                <w:b/>
                <w:szCs w:val="24"/>
              </w:rPr>
            </w:pPr>
            <w:r w:rsidRPr="00E1792A">
              <w:rPr>
                <w:b/>
                <w:szCs w:val="24"/>
              </w:rPr>
              <w:t>____________________</w:t>
            </w:r>
          </w:p>
        </w:tc>
        <w:tc>
          <w:tcPr>
            <w:tcW w:w="2309" w:type="dxa"/>
          </w:tcPr>
          <w:p w14:paraId="75BC37B6" w14:textId="311466A6" w:rsidR="00B8198B" w:rsidRPr="00E1792A" w:rsidRDefault="00074472" w:rsidP="00B8198B">
            <w:pPr>
              <w:spacing w:line="360" w:lineRule="auto"/>
              <w:ind w:left="0" w:right="-108" w:firstLine="13"/>
              <w:rPr>
                <w:b/>
                <w:szCs w:val="24"/>
              </w:rPr>
            </w:pPr>
            <w:r>
              <w:rPr>
                <w:b/>
                <w:szCs w:val="24"/>
              </w:rPr>
              <w:t>_____</w:t>
            </w:r>
            <w:r w:rsidR="00B8198B" w:rsidRPr="00E1792A">
              <w:rPr>
                <w:b/>
                <w:szCs w:val="24"/>
              </w:rPr>
              <w:t>___________</w:t>
            </w:r>
          </w:p>
        </w:tc>
      </w:tr>
      <w:tr w:rsidR="00B8198B" w:rsidRPr="00E1792A" w14:paraId="79B8CCA6" w14:textId="77777777" w:rsidTr="00074472">
        <w:tc>
          <w:tcPr>
            <w:tcW w:w="1871" w:type="dxa"/>
          </w:tcPr>
          <w:p w14:paraId="5D7BA6D5" w14:textId="77777777" w:rsidR="00B8198B" w:rsidRPr="00E1792A" w:rsidRDefault="00B8198B" w:rsidP="00D70E34">
            <w:pPr>
              <w:ind w:left="-108"/>
              <w:rPr>
                <w:b/>
                <w:szCs w:val="24"/>
              </w:rPr>
            </w:pPr>
          </w:p>
        </w:tc>
        <w:tc>
          <w:tcPr>
            <w:tcW w:w="2929" w:type="dxa"/>
          </w:tcPr>
          <w:p w14:paraId="6BBC2B44" w14:textId="45EFBB93" w:rsidR="00B8198B" w:rsidRPr="00E1792A" w:rsidRDefault="00B8198B" w:rsidP="00D70E34">
            <w:pPr>
              <w:ind w:left="0"/>
              <w:rPr>
                <w:szCs w:val="24"/>
              </w:rPr>
            </w:pPr>
            <w:r w:rsidRPr="00E1792A">
              <w:rPr>
                <w:b/>
                <w:szCs w:val="24"/>
              </w:rPr>
              <w:t>____________________</w:t>
            </w:r>
          </w:p>
        </w:tc>
        <w:tc>
          <w:tcPr>
            <w:tcW w:w="2606" w:type="dxa"/>
          </w:tcPr>
          <w:p w14:paraId="2CD4D381" w14:textId="77777777" w:rsidR="00B8198B" w:rsidRPr="00E1792A" w:rsidRDefault="00B8198B" w:rsidP="00D70E34">
            <w:pPr>
              <w:ind w:left="0"/>
              <w:rPr>
                <w:b/>
                <w:szCs w:val="24"/>
              </w:rPr>
            </w:pPr>
            <w:r w:rsidRPr="00E1792A">
              <w:rPr>
                <w:b/>
                <w:szCs w:val="24"/>
              </w:rPr>
              <w:t>____________________</w:t>
            </w:r>
          </w:p>
        </w:tc>
        <w:tc>
          <w:tcPr>
            <w:tcW w:w="2309" w:type="dxa"/>
          </w:tcPr>
          <w:p w14:paraId="7BC2C2D1" w14:textId="77777777" w:rsidR="00B8198B" w:rsidRPr="00E1792A" w:rsidRDefault="00B8198B" w:rsidP="00D70E34">
            <w:pPr>
              <w:ind w:left="0" w:firstLine="13"/>
              <w:rPr>
                <w:b/>
                <w:szCs w:val="24"/>
              </w:rPr>
            </w:pPr>
            <w:r w:rsidRPr="00E1792A">
              <w:rPr>
                <w:b/>
                <w:szCs w:val="24"/>
              </w:rPr>
              <w:t>_______________</w:t>
            </w:r>
          </w:p>
        </w:tc>
      </w:tr>
      <w:tr w:rsidR="00B8198B" w:rsidRPr="00E1792A" w14:paraId="6E20FED7" w14:textId="77777777" w:rsidTr="00074472">
        <w:tc>
          <w:tcPr>
            <w:tcW w:w="1871" w:type="dxa"/>
          </w:tcPr>
          <w:p w14:paraId="418FFEE8" w14:textId="77777777" w:rsidR="00B8198B" w:rsidRPr="00E1792A" w:rsidRDefault="00B8198B" w:rsidP="00D70E34">
            <w:pPr>
              <w:ind w:left="-108"/>
              <w:rPr>
                <w:b/>
                <w:szCs w:val="24"/>
              </w:rPr>
            </w:pPr>
            <w:r w:rsidRPr="00E1792A">
              <w:rPr>
                <w:b/>
                <w:szCs w:val="24"/>
              </w:rPr>
              <w:t>Reviewed by:</w:t>
            </w:r>
          </w:p>
        </w:tc>
        <w:tc>
          <w:tcPr>
            <w:tcW w:w="2929" w:type="dxa"/>
          </w:tcPr>
          <w:p w14:paraId="4C32D4D6" w14:textId="440ADEFF" w:rsidR="00B8198B" w:rsidRPr="00E1792A" w:rsidRDefault="00B8198B" w:rsidP="00D70E34">
            <w:pPr>
              <w:ind w:left="0"/>
              <w:rPr>
                <w:b/>
                <w:szCs w:val="24"/>
              </w:rPr>
            </w:pPr>
            <w:r>
              <w:rPr>
                <w:b/>
                <w:szCs w:val="24"/>
              </w:rPr>
              <w:t>____________________</w:t>
            </w:r>
          </w:p>
        </w:tc>
        <w:tc>
          <w:tcPr>
            <w:tcW w:w="2606" w:type="dxa"/>
          </w:tcPr>
          <w:p w14:paraId="551BE551" w14:textId="77777777" w:rsidR="00B8198B" w:rsidRPr="00E1792A" w:rsidRDefault="00B8198B" w:rsidP="00D70E34">
            <w:pPr>
              <w:ind w:left="0"/>
              <w:rPr>
                <w:b/>
                <w:szCs w:val="24"/>
              </w:rPr>
            </w:pPr>
            <w:r w:rsidRPr="00E1792A">
              <w:rPr>
                <w:b/>
                <w:szCs w:val="24"/>
              </w:rPr>
              <w:t>____________________</w:t>
            </w:r>
          </w:p>
        </w:tc>
        <w:tc>
          <w:tcPr>
            <w:tcW w:w="2309" w:type="dxa"/>
          </w:tcPr>
          <w:p w14:paraId="2A392A85" w14:textId="77777777" w:rsidR="00B8198B" w:rsidRPr="00E1792A" w:rsidRDefault="00B8198B" w:rsidP="00D70E34">
            <w:pPr>
              <w:ind w:left="0" w:firstLine="13"/>
              <w:rPr>
                <w:b/>
                <w:szCs w:val="24"/>
              </w:rPr>
            </w:pPr>
            <w:r w:rsidRPr="00E1792A">
              <w:rPr>
                <w:b/>
                <w:szCs w:val="24"/>
              </w:rPr>
              <w:t>_______________</w:t>
            </w:r>
          </w:p>
        </w:tc>
      </w:tr>
      <w:tr w:rsidR="00B8198B" w:rsidRPr="00E1792A" w14:paraId="7704DFAC" w14:textId="77777777" w:rsidTr="00074472">
        <w:tc>
          <w:tcPr>
            <w:tcW w:w="1871" w:type="dxa"/>
          </w:tcPr>
          <w:p w14:paraId="02DD65BC" w14:textId="77777777" w:rsidR="00B8198B" w:rsidRPr="00E1792A" w:rsidRDefault="00B8198B" w:rsidP="00D70E34">
            <w:pPr>
              <w:ind w:left="-108"/>
              <w:rPr>
                <w:b/>
                <w:szCs w:val="24"/>
              </w:rPr>
            </w:pPr>
            <w:r w:rsidRPr="00E1792A">
              <w:rPr>
                <w:b/>
                <w:szCs w:val="24"/>
              </w:rPr>
              <w:t>Approved by:</w:t>
            </w:r>
          </w:p>
        </w:tc>
        <w:tc>
          <w:tcPr>
            <w:tcW w:w="2929" w:type="dxa"/>
          </w:tcPr>
          <w:p w14:paraId="029498DE" w14:textId="0E7F57CC" w:rsidR="00B8198B" w:rsidRPr="00E1792A" w:rsidRDefault="00074472" w:rsidP="00D70E34">
            <w:pPr>
              <w:ind w:left="0"/>
              <w:rPr>
                <w:b/>
                <w:szCs w:val="24"/>
              </w:rPr>
            </w:pPr>
            <w:r>
              <w:rPr>
                <w:b/>
                <w:szCs w:val="24"/>
              </w:rPr>
              <w:t>_____________________</w:t>
            </w:r>
          </w:p>
        </w:tc>
        <w:tc>
          <w:tcPr>
            <w:tcW w:w="2606" w:type="dxa"/>
          </w:tcPr>
          <w:p w14:paraId="19B93FA4" w14:textId="77777777" w:rsidR="00B8198B" w:rsidRPr="00E1792A" w:rsidRDefault="00B8198B" w:rsidP="00D70E34">
            <w:pPr>
              <w:ind w:left="0"/>
              <w:rPr>
                <w:b/>
                <w:szCs w:val="24"/>
              </w:rPr>
            </w:pPr>
            <w:r w:rsidRPr="00E1792A">
              <w:rPr>
                <w:b/>
                <w:szCs w:val="24"/>
              </w:rPr>
              <w:t>____________________</w:t>
            </w:r>
          </w:p>
        </w:tc>
        <w:tc>
          <w:tcPr>
            <w:tcW w:w="2309" w:type="dxa"/>
          </w:tcPr>
          <w:p w14:paraId="72CB2986" w14:textId="77777777" w:rsidR="00B8198B" w:rsidRPr="00E1792A" w:rsidRDefault="00B8198B"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CF6D8A">
              <w:rPr>
                <w:noProof/>
                <w:webHidden/>
              </w:rPr>
              <w:t>4</w:t>
            </w:r>
            <w:r w:rsidR="00FB0261">
              <w:rPr>
                <w:noProof/>
                <w:webHidden/>
              </w:rPr>
              <w:fldChar w:fldCharType="end"/>
            </w:r>
          </w:hyperlink>
        </w:p>
        <w:p w14:paraId="26B98AF2" w14:textId="79D03C99"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CF6D8A">
              <w:rPr>
                <w:noProof/>
                <w:webHidden/>
              </w:rPr>
              <w:t>5</w:t>
            </w:r>
            <w:r w:rsidR="00FB0261">
              <w:rPr>
                <w:noProof/>
                <w:webHidden/>
              </w:rPr>
              <w:fldChar w:fldCharType="end"/>
            </w:r>
          </w:hyperlink>
        </w:p>
        <w:p w14:paraId="371420CF" w14:textId="07E91334"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CF6D8A">
              <w:rPr>
                <w:noProof/>
                <w:webHidden/>
              </w:rPr>
              <w:t>5</w:t>
            </w:r>
            <w:r w:rsidR="00FB0261">
              <w:rPr>
                <w:noProof/>
                <w:webHidden/>
              </w:rPr>
              <w:fldChar w:fldCharType="end"/>
            </w:r>
          </w:hyperlink>
        </w:p>
        <w:p w14:paraId="1A3B7633" w14:textId="3291EE69"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CF6D8A">
              <w:rPr>
                <w:noProof/>
                <w:webHidden/>
              </w:rPr>
              <w:t>5</w:t>
            </w:r>
            <w:r w:rsidR="00FB0261">
              <w:rPr>
                <w:noProof/>
                <w:webHidden/>
              </w:rPr>
              <w:fldChar w:fldCharType="end"/>
            </w:r>
          </w:hyperlink>
        </w:p>
        <w:p w14:paraId="76324390" w14:textId="7C631C79"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CF6D8A">
              <w:rPr>
                <w:noProof/>
                <w:webHidden/>
              </w:rPr>
              <w:t>6</w:t>
            </w:r>
            <w:r w:rsidR="00FB0261">
              <w:rPr>
                <w:noProof/>
                <w:webHidden/>
              </w:rPr>
              <w:fldChar w:fldCharType="end"/>
            </w:r>
          </w:hyperlink>
        </w:p>
        <w:p w14:paraId="0156DEA2" w14:textId="0B63A4E8"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CF6D8A">
              <w:rPr>
                <w:noProof/>
                <w:webHidden/>
              </w:rPr>
              <w:t>6</w:t>
            </w:r>
            <w:r w:rsidR="00FB0261">
              <w:rPr>
                <w:noProof/>
                <w:webHidden/>
              </w:rPr>
              <w:fldChar w:fldCharType="end"/>
            </w:r>
          </w:hyperlink>
        </w:p>
        <w:p w14:paraId="7CA78EF1" w14:textId="55667F70" w:rsidR="00FB0261" w:rsidRDefault="003C4C41">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CF6D8A">
              <w:rPr>
                <w:noProof/>
                <w:webHidden/>
              </w:rPr>
              <w:t>7</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A430C0">
      <w:pPr>
        <w:pStyle w:val="Heading1"/>
        <w:numPr>
          <w:ilvl w:val="0"/>
          <w:numId w:val="7"/>
        </w:numPr>
      </w:pPr>
      <w:bookmarkStart w:id="4" w:name="_Toc144316958"/>
      <w:r w:rsidRPr="00E1792A">
        <w:t>PURPOSE</w:t>
      </w:r>
      <w:bookmarkEnd w:id="4"/>
    </w:p>
    <w:p w14:paraId="27483A89" w14:textId="77777777" w:rsidR="004B3EBC" w:rsidRPr="004B3EBC" w:rsidRDefault="002435E5" w:rsidP="00ED73F7">
      <w:r>
        <w:t xml:space="preserve"> </w:t>
      </w:r>
      <w:r w:rsidR="004B3EBC" w:rsidRPr="004B3EBC">
        <w:t>To establish a standardized and transparent process for the development, review, and continuous improvement of data analytics policies and strategies within the Data Science &amp; Analytics Section (DS&amp;AS), ensuring alignment with:</w:t>
      </w:r>
    </w:p>
    <w:p w14:paraId="18FA5F3B" w14:textId="77777777" w:rsidR="004B3EBC" w:rsidRPr="00ED73F7" w:rsidRDefault="004B3EBC" w:rsidP="00ED73F7">
      <w:pPr>
        <w:pStyle w:val="ListParagraph"/>
        <w:numPr>
          <w:ilvl w:val="0"/>
          <w:numId w:val="37"/>
        </w:numPr>
        <w:rPr>
          <w:color w:val="auto"/>
          <w:szCs w:val="24"/>
        </w:rPr>
      </w:pPr>
      <w:r w:rsidRPr="00ED73F7">
        <w:rPr>
          <w:b/>
          <w:bCs/>
          <w:color w:val="auto"/>
          <w:szCs w:val="24"/>
        </w:rPr>
        <w:t>The Kenya Data Protection Act (2019)</w:t>
      </w:r>
      <w:r w:rsidRPr="00ED73F7">
        <w:rPr>
          <w:color w:val="auto"/>
          <w:szCs w:val="24"/>
        </w:rPr>
        <w:t xml:space="preserve"> – providing the national legal framework for the protection of personal data and the regulation of data processing activities within Kenya.</w:t>
      </w:r>
    </w:p>
    <w:p w14:paraId="58241C85" w14:textId="77777777" w:rsidR="004B3EBC" w:rsidRPr="00ED73F7" w:rsidRDefault="004B3EBC" w:rsidP="00ED73F7">
      <w:pPr>
        <w:pStyle w:val="ListParagraph"/>
        <w:numPr>
          <w:ilvl w:val="0"/>
          <w:numId w:val="37"/>
        </w:numPr>
        <w:rPr>
          <w:color w:val="auto"/>
          <w:szCs w:val="24"/>
        </w:rPr>
      </w:pPr>
      <w:r w:rsidRPr="00ED73F7">
        <w:rPr>
          <w:b/>
          <w:bCs/>
          <w:color w:val="auto"/>
          <w:szCs w:val="24"/>
        </w:rPr>
        <w:t>Institutional data governance frameworks and regulations</w:t>
      </w:r>
      <w:r w:rsidRPr="00ED73F7">
        <w:rPr>
          <w:color w:val="auto"/>
          <w:szCs w:val="24"/>
        </w:rPr>
        <w:t xml:space="preserve"> – ensuring compliance with internal policies, ethical standards, and accountability requirements.</w:t>
      </w:r>
    </w:p>
    <w:p w14:paraId="7C66FC18" w14:textId="77777777" w:rsidR="004B3EBC" w:rsidRPr="00ED73F7" w:rsidRDefault="004B3EBC" w:rsidP="00ED73F7">
      <w:pPr>
        <w:pStyle w:val="ListParagraph"/>
        <w:numPr>
          <w:ilvl w:val="0"/>
          <w:numId w:val="37"/>
        </w:numPr>
        <w:rPr>
          <w:color w:val="auto"/>
          <w:szCs w:val="24"/>
        </w:rPr>
      </w:pPr>
      <w:r w:rsidRPr="00ED73F7">
        <w:rPr>
          <w:b/>
          <w:bCs/>
          <w:color w:val="auto"/>
          <w:szCs w:val="24"/>
        </w:rPr>
        <w:t>The FAIR Data Principles</w:t>
      </w:r>
      <w:r w:rsidRPr="00ED73F7">
        <w:rPr>
          <w:color w:val="auto"/>
          <w:szCs w:val="24"/>
        </w:rPr>
        <w:t xml:space="preserve"> – promoting data that are </w:t>
      </w:r>
      <w:r w:rsidRPr="00ED73F7">
        <w:rPr>
          <w:i/>
          <w:iCs/>
          <w:color w:val="auto"/>
          <w:szCs w:val="24"/>
        </w:rPr>
        <w:t>Findable, Accessible, Interoperable,</w:t>
      </w:r>
      <w:r w:rsidRPr="00ED73F7">
        <w:rPr>
          <w:color w:val="auto"/>
          <w:szCs w:val="24"/>
        </w:rPr>
        <w:t xml:space="preserve"> and </w:t>
      </w:r>
      <w:r w:rsidRPr="00ED73F7">
        <w:rPr>
          <w:i/>
          <w:iCs/>
          <w:color w:val="auto"/>
          <w:szCs w:val="24"/>
        </w:rPr>
        <w:t>Reusable</w:t>
      </w:r>
      <w:r w:rsidRPr="00ED73F7">
        <w:rPr>
          <w:color w:val="auto"/>
          <w:szCs w:val="24"/>
        </w:rPr>
        <w:t xml:space="preserve"> to enhance data stewardship, transparency, and reproducibility in research.</w:t>
      </w:r>
    </w:p>
    <w:p w14:paraId="15E2267F" w14:textId="77777777" w:rsidR="004B3EBC" w:rsidRPr="00ED73F7" w:rsidRDefault="004B3EBC" w:rsidP="00ED73F7">
      <w:pPr>
        <w:pStyle w:val="ListParagraph"/>
        <w:numPr>
          <w:ilvl w:val="0"/>
          <w:numId w:val="37"/>
        </w:numPr>
        <w:rPr>
          <w:color w:val="auto"/>
          <w:szCs w:val="24"/>
        </w:rPr>
      </w:pPr>
      <w:r w:rsidRPr="00ED73F7">
        <w:rPr>
          <w:b/>
          <w:bCs/>
          <w:color w:val="auto"/>
          <w:szCs w:val="24"/>
        </w:rPr>
        <w:t>Title 21, Code of Federal Regulations, Part 11 (21 CFR Part 11)</w:t>
      </w:r>
      <w:r w:rsidRPr="00ED73F7">
        <w:rPr>
          <w:color w:val="auto"/>
          <w:szCs w:val="24"/>
        </w:rPr>
        <w:t xml:space="preserve"> – establishing the U.S. Food and Drug Administration (FDA) requirements for the trustworthiness, reliability, and equivalence of electronic records and electronic signatures.</w:t>
      </w:r>
    </w:p>
    <w:p w14:paraId="1FEBA0B1" w14:textId="77777777" w:rsidR="004B3EBC" w:rsidRPr="00ED73F7" w:rsidRDefault="004B3EBC" w:rsidP="00ED73F7">
      <w:pPr>
        <w:pStyle w:val="ListParagraph"/>
        <w:numPr>
          <w:ilvl w:val="0"/>
          <w:numId w:val="37"/>
        </w:numPr>
        <w:rPr>
          <w:color w:val="auto"/>
          <w:szCs w:val="24"/>
        </w:rPr>
      </w:pPr>
      <w:r w:rsidRPr="00ED73F7">
        <w:rPr>
          <w:b/>
          <w:bCs/>
          <w:color w:val="auto"/>
          <w:szCs w:val="24"/>
        </w:rPr>
        <w:t>The General Data Protection Regulation (GDPR) (Regulation (EU) 2016/679)</w:t>
      </w:r>
      <w:r w:rsidRPr="00ED73F7">
        <w:rPr>
          <w:color w:val="auto"/>
          <w:szCs w:val="24"/>
        </w:rPr>
        <w:t xml:space="preserve"> – governing the protection of personal data and privacy for individuals within the European Union and the European Economic Area, including the regulation of international data transfers.</w:t>
      </w:r>
    </w:p>
    <w:p w14:paraId="2D8075E0" w14:textId="77777777" w:rsidR="004B3EBC" w:rsidRPr="00ED73F7" w:rsidRDefault="004B3EBC" w:rsidP="00ED73F7">
      <w:pPr>
        <w:pStyle w:val="ListParagraph"/>
        <w:numPr>
          <w:ilvl w:val="0"/>
          <w:numId w:val="37"/>
        </w:numPr>
        <w:rPr>
          <w:color w:val="auto"/>
          <w:szCs w:val="24"/>
        </w:rPr>
      </w:pPr>
      <w:r w:rsidRPr="00ED73F7">
        <w:rPr>
          <w:b/>
          <w:bCs/>
          <w:color w:val="auto"/>
          <w:szCs w:val="24"/>
        </w:rPr>
        <w:t>The Health Insurance Portability and Accountability Act (HIPAA) of 1996</w:t>
      </w:r>
      <w:r w:rsidRPr="00ED73F7">
        <w:rPr>
          <w:color w:val="auto"/>
          <w:szCs w:val="24"/>
        </w:rPr>
        <w:t xml:space="preserve"> – setting the U.S. standards for safeguarding the privacy and security of protected health information (PHI) in healthcare and biomedical research.</w:t>
      </w:r>
    </w:p>
    <w:p w14:paraId="750FBA7F" w14:textId="5DE1B249" w:rsidR="00A430C0" w:rsidRPr="00ED73F7" w:rsidRDefault="004B3EBC" w:rsidP="00ED73F7">
      <w:pPr>
        <w:pStyle w:val="ListParagraph"/>
        <w:numPr>
          <w:ilvl w:val="0"/>
          <w:numId w:val="37"/>
        </w:numPr>
        <w:rPr>
          <w:color w:val="auto"/>
          <w:szCs w:val="24"/>
        </w:rPr>
      </w:pPr>
      <w:r w:rsidRPr="00ED73F7">
        <w:rPr>
          <w:b/>
          <w:bCs/>
          <w:color w:val="auto"/>
          <w:szCs w:val="24"/>
        </w:rPr>
        <w:t>The Federal Information Security Management Act (FISMA) of 2002</w:t>
      </w:r>
      <w:r w:rsidRPr="00ED73F7">
        <w:rPr>
          <w:color w:val="auto"/>
          <w:szCs w:val="24"/>
        </w:rPr>
        <w:t xml:space="preserve"> (amended 2014) – requiring U.S. federal agencies and their partners to implement comprehensive information security programs to protect government information systems and data assets.</w:t>
      </w:r>
    </w:p>
    <w:p w14:paraId="76DFE932" w14:textId="77777777" w:rsidR="00D0679E" w:rsidRPr="00E1792A" w:rsidRDefault="00A430C0" w:rsidP="00D0679E">
      <w:pPr>
        <w:pStyle w:val="Heading1"/>
      </w:pPr>
      <w:bookmarkStart w:id="5" w:name="_Toc144316959"/>
      <w:r w:rsidRPr="00E1792A">
        <w:t>SCOPE</w:t>
      </w:r>
      <w:bookmarkStart w:id="6" w:name="_Hlk144290335"/>
      <w:bookmarkStart w:id="7" w:name="_Hlk144290676"/>
      <w:bookmarkEnd w:id="5"/>
    </w:p>
    <w:p w14:paraId="7D867C84" w14:textId="1FEE63C3" w:rsidR="00243ACA" w:rsidRPr="00243ACA" w:rsidRDefault="00243ACA" w:rsidP="00ED73F7">
      <w:bookmarkStart w:id="8" w:name="_Toc144203932"/>
      <w:bookmarkStart w:id="9" w:name="_Toc144316960"/>
      <w:bookmarkEnd w:id="6"/>
      <w:bookmarkEnd w:id="7"/>
      <w:r w:rsidRPr="00243ACA">
        <w:t>This SOP applies to all staff within the Data Science &amp; Analytics Section (DS&amp;AS) involved in the formulation, review, implementation, and periodic evaluation of data analytics policies and strategies.</w:t>
      </w:r>
    </w:p>
    <w:p w14:paraId="2B63D0A3" w14:textId="77777777" w:rsidR="00243ACA" w:rsidRPr="00243ACA" w:rsidRDefault="00243ACA" w:rsidP="00ED73F7">
      <w:pPr>
        <w:rPr>
          <w:color w:val="auto"/>
          <w:szCs w:val="24"/>
        </w:rPr>
      </w:pPr>
      <w:r w:rsidRPr="00243ACA">
        <w:rPr>
          <w:color w:val="auto"/>
          <w:szCs w:val="24"/>
        </w:rPr>
        <w:t>It covers policies and procedures related to:</w:t>
      </w:r>
    </w:p>
    <w:p w14:paraId="2F47BA48" w14:textId="77777777" w:rsidR="00243ACA" w:rsidRPr="00ED73F7" w:rsidRDefault="00243ACA" w:rsidP="00ED73F7">
      <w:pPr>
        <w:pStyle w:val="ListParagraph"/>
        <w:numPr>
          <w:ilvl w:val="0"/>
          <w:numId w:val="38"/>
        </w:numPr>
        <w:rPr>
          <w:color w:val="auto"/>
          <w:szCs w:val="24"/>
        </w:rPr>
      </w:pPr>
      <w:r w:rsidRPr="00ED73F7">
        <w:rPr>
          <w:b/>
          <w:bCs/>
          <w:color w:val="auto"/>
          <w:szCs w:val="24"/>
        </w:rPr>
        <w:t>Data governance and management</w:t>
      </w:r>
      <w:r w:rsidRPr="00ED73F7">
        <w:rPr>
          <w:color w:val="auto"/>
          <w:szCs w:val="24"/>
        </w:rPr>
        <w:t>, including data lifecycle management, access control, and stewardship.</w:t>
      </w:r>
    </w:p>
    <w:p w14:paraId="6DC2376B" w14:textId="77777777" w:rsidR="00243ACA" w:rsidRPr="00ED73F7" w:rsidRDefault="00243ACA" w:rsidP="00ED73F7">
      <w:pPr>
        <w:pStyle w:val="ListParagraph"/>
        <w:numPr>
          <w:ilvl w:val="0"/>
          <w:numId w:val="38"/>
        </w:numPr>
        <w:rPr>
          <w:color w:val="auto"/>
          <w:szCs w:val="24"/>
        </w:rPr>
      </w:pPr>
      <w:r w:rsidRPr="00ED73F7">
        <w:rPr>
          <w:b/>
          <w:bCs/>
          <w:color w:val="auto"/>
          <w:szCs w:val="24"/>
        </w:rPr>
        <w:t>Data analytics, modelling, and reproducibility standards</w:t>
      </w:r>
      <w:r w:rsidRPr="00ED73F7">
        <w:rPr>
          <w:color w:val="auto"/>
          <w:szCs w:val="24"/>
        </w:rPr>
        <w:t>, ensuring methodological transparency and consistency.</w:t>
      </w:r>
    </w:p>
    <w:p w14:paraId="4ED4E6DA" w14:textId="77777777" w:rsidR="00243ACA" w:rsidRPr="00ED73F7" w:rsidRDefault="00243ACA" w:rsidP="00ED73F7">
      <w:pPr>
        <w:pStyle w:val="ListParagraph"/>
        <w:numPr>
          <w:ilvl w:val="0"/>
          <w:numId w:val="38"/>
        </w:numPr>
        <w:rPr>
          <w:color w:val="auto"/>
          <w:szCs w:val="24"/>
        </w:rPr>
      </w:pPr>
      <w:r w:rsidRPr="00ED73F7">
        <w:rPr>
          <w:b/>
          <w:bCs/>
          <w:color w:val="auto"/>
          <w:szCs w:val="24"/>
        </w:rPr>
        <w:t>Ethical data use and compliance</w:t>
      </w:r>
      <w:r w:rsidRPr="00ED73F7">
        <w:rPr>
          <w:color w:val="auto"/>
          <w:szCs w:val="24"/>
        </w:rPr>
        <w:t xml:space="preserve"> with national and international regulatory frameworks, including the Kenya Data Protection Act (2019), HIPAA, FISMA, GDPR, and 21 CFR Part 11.</w:t>
      </w:r>
    </w:p>
    <w:p w14:paraId="58A91116" w14:textId="77777777" w:rsidR="00243ACA" w:rsidRPr="00ED73F7" w:rsidRDefault="00243ACA" w:rsidP="00ED73F7">
      <w:pPr>
        <w:pStyle w:val="ListParagraph"/>
        <w:numPr>
          <w:ilvl w:val="0"/>
          <w:numId w:val="38"/>
        </w:numPr>
        <w:rPr>
          <w:color w:val="auto"/>
          <w:szCs w:val="24"/>
        </w:rPr>
      </w:pPr>
      <w:r w:rsidRPr="00ED73F7">
        <w:rPr>
          <w:b/>
          <w:bCs/>
          <w:color w:val="auto"/>
          <w:szCs w:val="24"/>
        </w:rPr>
        <w:t>Data quality, integrity, and security assurance</w:t>
      </w:r>
      <w:r w:rsidRPr="00ED73F7">
        <w:rPr>
          <w:color w:val="auto"/>
          <w:szCs w:val="24"/>
        </w:rPr>
        <w:t>, in line with institutional and global best practices.</w:t>
      </w:r>
    </w:p>
    <w:p w14:paraId="6901554D" w14:textId="77777777" w:rsidR="00243ACA" w:rsidRPr="00ED73F7" w:rsidRDefault="00243ACA" w:rsidP="00ED73F7">
      <w:pPr>
        <w:pStyle w:val="ListParagraph"/>
        <w:numPr>
          <w:ilvl w:val="0"/>
          <w:numId w:val="38"/>
        </w:numPr>
        <w:rPr>
          <w:color w:val="auto"/>
          <w:szCs w:val="24"/>
        </w:rPr>
      </w:pPr>
      <w:r w:rsidRPr="00ED73F7">
        <w:rPr>
          <w:b/>
          <w:bCs/>
          <w:color w:val="auto"/>
          <w:szCs w:val="24"/>
        </w:rPr>
        <w:t>Alignment with KIPRE’s strategic goals</w:t>
      </w:r>
      <w:r w:rsidRPr="00ED73F7">
        <w:rPr>
          <w:color w:val="auto"/>
          <w:szCs w:val="24"/>
        </w:rPr>
        <w:t>, national health and research priorities, and internationally recognized standards such as the FAIR Data Principles.</w:t>
      </w:r>
    </w:p>
    <w:p w14:paraId="2A50F2FB" w14:textId="786242DE" w:rsidR="00A430C0" w:rsidRPr="00E1792A" w:rsidRDefault="00A430C0" w:rsidP="00072714">
      <w:pPr>
        <w:pStyle w:val="Heading1"/>
      </w:pPr>
      <w:r w:rsidRPr="00E1792A">
        <w:t>PERSONS RESPONSIBLE:</w:t>
      </w:r>
      <w:bookmarkEnd w:id="8"/>
      <w:bookmarkEnd w:id="9"/>
      <w:r w:rsidRPr="00E1792A">
        <w:t xml:space="preserve"> </w:t>
      </w:r>
    </w:p>
    <w:p w14:paraId="657E2BD4" w14:textId="125805DA" w:rsidR="00B8198B" w:rsidRDefault="00B8198B" w:rsidP="00ED73F7">
      <w:pPr>
        <w:pStyle w:val="ListParagraph"/>
        <w:numPr>
          <w:ilvl w:val="0"/>
          <w:numId w:val="39"/>
        </w:numPr>
      </w:pPr>
      <w:r>
        <w:rPr>
          <w:rStyle w:val="Strong"/>
        </w:rPr>
        <w:t>Head of DS&amp;AS</w:t>
      </w:r>
      <w:r>
        <w:t xml:space="preserve"> – Leads policy development and review process; ensures compliance.</w:t>
      </w:r>
    </w:p>
    <w:p w14:paraId="3464517D" w14:textId="77777777" w:rsidR="00B8198B" w:rsidRDefault="00B8198B" w:rsidP="00ED73F7">
      <w:pPr>
        <w:pStyle w:val="ListParagraph"/>
        <w:numPr>
          <w:ilvl w:val="0"/>
          <w:numId w:val="39"/>
        </w:numPr>
      </w:pPr>
      <w:r>
        <w:rPr>
          <w:rStyle w:val="Strong"/>
        </w:rPr>
        <w:t>Policy Development Committee (PDC)</w:t>
      </w:r>
      <w:r>
        <w:t xml:space="preserve"> – Comprised of DS&amp;AS representatives, Data Protection Officer (DPO), ICT lead, and legal/ethics officer.</w:t>
      </w:r>
    </w:p>
    <w:p w14:paraId="0796EA5A" w14:textId="77777777" w:rsidR="00B8198B" w:rsidRDefault="00B8198B" w:rsidP="00ED73F7">
      <w:pPr>
        <w:pStyle w:val="ListParagraph"/>
        <w:numPr>
          <w:ilvl w:val="0"/>
          <w:numId w:val="39"/>
        </w:numPr>
      </w:pPr>
      <w:r>
        <w:rPr>
          <w:rStyle w:val="Strong"/>
        </w:rPr>
        <w:t>Director of Research and Product Development</w:t>
      </w:r>
      <w:r>
        <w:t xml:space="preserve"> – Provides approval before institutional adoption.</w:t>
      </w:r>
    </w:p>
    <w:p w14:paraId="7D8F408C" w14:textId="0DBA0E21" w:rsidR="00A430C0" w:rsidRPr="00E1792A" w:rsidRDefault="00B8198B" w:rsidP="00ED73F7">
      <w:pPr>
        <w:pStyle w:val="ListParagraph"/>
        <w:numPr>
          <w:ilvl w:val="0"/>
          <w:numId w:val="39"/>
        </w:numPr>
      </w:pPr>
      <w:r>
        <w:rPr>
          <w:rStyle w:val="Strong"/>
        </w:rPr>
        <w:t>External Stakeholders (as needed)</w:t>
      </w:r>
      <w:r>
        <w:t xml:space="preserve"> – Regulators, ethics review committees, collaborating partners for consultation.</w:t>
      </w:r>
    </w:p>
    <w:p w14:paraId="7BAC35F7" w14:textId="77777777" w:rsidR="00A430C0" w:rsidRPr="00E1792A" w:rsidRDefault="00A430C0" w:rsidP="00D0679E">
      <w:pPr>
        <w:pStyle w:val="Heading1"/>
      </w:pPr>
      <w:bookmarkStart w:id="10" w:name="_Toc144203933"/>
      <w:bookmarkStart w:id="11" w:name="_Toc144316961"/>
      <w:r w:rsidRPr="00E1792A">
        <w:t>FREQUENCY</w:t>
      </w:r>
      <w:bookmarkEnd w:id="10"/>
      <w:bookmarkEnd w:id="11"/>
    </w:p>
    <w:p w14:paraId="57FD6575" w14:textId="77777777" w:rsidR="00243ACA" w:rsidRPr="00243ACA" w:rsidRDefault="00243ACA" w:rsidP="00ED73F7">
      <w:pPr>
        <w:pStyle w:val="ListParagraph"/>
        <w:numPr>
          <w:ilvl w:val="0"/>
          <w:numId w:val="40"/>
        </w:numPr>
      </w:pPr>
      <w:r w:rsidRPr="00ED73F7">
        <w:rPr>
          <w:b/>
          <w:bCs/>
        </w:rPr>
        <w:t>Policy Development:</w:t>
      </w:r>
      <w:r w:rsidRPr="00243ACA">
        <w:t xml:space="preserve"> Conducted as needed to address emerging requirements, new technologies, or changes in operational, legal, or regulatory frameworks.</w:t>
      </w:r>
    </w:p>
    <w:p w14:paraId="2F2A172A" w14:textId="77777777" w:rsidR="00243ACA" w:rsidRPr="00243ACA" w:rsidRDefault="00243ACA" w:rsidP="00ED73F7">
      <w:pPr>
        <w:pStyle w:val="ListParagraph"/>
        <w:numPr>
          <w:ilvl w:val="0"/>
          <w:numId w:val="40"/>
        </w:numPr>
      </w:pPr>
      <w:r w:rsidRPr="00ED73F7">
        <w:rPr>
          <w:b/>
          <w:bCs/>
        </w:rPr>
        <w:t>Policy Review:</w:t>
      </w:r>
      <w:r w:rsidRPr="00243ACA">
        <w:t xml:space="preserve"> Undertaken annually by the Data Science &amp; Analytics Section (DS&amp;AS), with a comprehensive institutional review every three (3) years, consistent with KIPRE’s policy review cycle.</w:t>
      </w:r>
    </w:p>
    <w:p w14:paraId="7CC7820B" w14:textId="77777777" w:rsidR="00243ACA" w:rsidRPr="00243ACA" w:rsidRDefault="00243ACA" w:rsidP="00ED73F7">
      <w:pPr>
        <w:pStyle w:val="ListParagraph"/>
        <w:numPr>
          <w:ilvl w:val="0"/>
          <w:numId w:val="40"/>
        </w:numPr>
      </w:pPr>
      <w:r w:rsidRPr="00ED73F7">
        <w:rPr>
          <w:b/>
          <w:bCs/>
        </w:rPr>
        <w:t>Interim Updates:</w:t>
      </w:r>
      <w:r w:rsidRPr="00243ACA">
        <w:t xml:space="preserve"> Initiated when significant amendments occur in applicable laws or regulations (e.g., Kenya Data Protection Act, HIPAA, GDPR, or 21 CFR Part 11) or when new international standards or best practices emerge that affect DS&amp;AS operations.</w:t>
      </w:r>
    </w:p>
    <w:p w14:paraId="189F2F5B" w14:textId="742DEA46" w:rsidR="00A430C0" w:rsidRDefault="00A430C0" w:rsidP="00A430C0">
      <w:pPr>
        <w:rPr>
          <w:szCs w:val="24"/>
        </w:rPr>
      </w:pPr>
    </w:p>
    <w:p w14:paraId="147A56C9" w14:textId="34869643" w:rsidR="00EF6627" w:rsidRDefault="00EF6627" w:rsidP="00EF6627">
      <w:pPr>
        <w:pStyle w:val="Heading1"/>
      </w:pPr>
      <w:bookmarkStart w:id="12" w:name="_Toc144316962"/>
      <w:r>
        <w:t>MATERIALS</w:t>
      </w:r>
      <w:bookmarkEnd w:id="12"/>
    </w:p>
    <w:p w14:paraId="1F50FA81" w14:textId="77777777" w:rsidR="001D2D3C" w:rsidRPr="001D2D3C" w:rsidRDefault="001D2D3C" w:rsidP="00ED73F7">
      <w:bookmarkStart w:id="13" w:name="_Toc144203934"/>
      <w:bookmarkStart w:id="14" w:name="_Toc144316963"/>
      <w:r w:rsidRPr="001D2D3C">
        <w:t>The following documents and resources shall be used to guide the development, review, and updating of DS&amp;AS data analytics policies and strategies:</w:t>
      </w:r>
    </w:p>
    <w:p w14:paraId="00A6FA7D" w14:textId="77777777" w:rsidR="001D2D3C" w:rsidRPr="001D2D3C" w:rsidRDefault="001D2D3C" w:rsidP="00ED73F7">
      <w:pPr>
        <w:pStyle w:val="ListParagraph"/>
        <w:numPr>
          <w:ilvl w:val="0"/>
          <w:numId w:val="41"/>
        </w:numPr>
      </w:pPr>
      <w:r w:rsidRPr="00ED73F7">
        <w:rPr>
          <w:b/>
          <w:bCs/>
        </w:rPr>
        <w:t>KIPRE Strategic Plan (2023–2027)</w:t>
      </w:r>
      <w:r w:rsidRPr="001D2D3C">
        <w:t xml:space="preserve"> – outlining institutional priorities, strategic objectives, and alignment with national research goals.</w:t>
      </w:r>
    </w:p>
    <w:p w14:paraId="20E435CC" w14:textId="77777777" w:rsidR="001D2D3C" w:rsidRPr="001D2D3C" w:rsidRDefault="001D2D3C" w:rsidP="00ED73F7">
      <w:pPr>
        <w:pStyle w:val="ListParagraph"/>
        <w:numPr>
          <w:ilvl w:val="0"/>
          <w:numId w:val="41"/>
        </w:numPr>
      </w:pPr>
      <w:r w:rsidRPr="00ED73F7">
        <w:rPr>
          <w:b/>
          <w:bCs/>
        </w:rPr>
        <w:t>DS&amp;AS Strategic Framework and Policy Proposal</w:t>
      </w:r>
      <w:r w:rsidRPr="001D2D3C">
        <w:t xml:space="preserve"> – defining the Section’s operational focus, data strategy, and implementation roadmap.</w:t>
      </w:r>
    </w:p>
    <w:p w14:paraId="6DF0A947" w14:textId="77777777" w:rsidR="001D2D3C" w:rsidRPr="001D2D3C" w:rsidRDefault="001D2D3C" w:rsidP="00ED73F7">
      <w:pPr>
        <w:pStyle w:val="ListParagraph"/>
        <w:numPr>
          <w:ilvl w:val="0"/>
          <w:numId w:val="41"/>
        </w:numPr>
      </w:pPr>
      <w:r w:rsidRPr="00ED73F7">
        <w:rPr>
          <w:b/>
          <w:bCs/>
        </w:rPr>
        <w:t>Kenya Data Protection Act (2019)</w:t>
      </w:r>
      <w:r w:rsidRPr="001D2D3C">
        <w:t xml:space="preserve"> and other relevant </w:t>
      </w:r>
      <w:r w:rsidRPr="00ED73F7">
        <w:rPr>
          <w:b/>
          <w:bCs/>
        </w:rPr>
        <w:t>ICT and Research Acts</w:t>
      </w:r>
      <w:r w:rsidRPr="001D2D3C">
        <w:t xml:space="preserve"> – providing the legal framework for data protection, processing, and governance within Kenya.</w:t>
      </w:r>
    </w:p>
    <w:p w14:paraId="449AE9CA" w14:textId="77777777" w:rsidR="001D2D3C" w:rsidRPr="001D2D3C" w:rsidRDefault="001D2D3C" w:rsidP="00ED73F7">
      <w:pPr>
        <w:pStyle w:val="ListParagraph"/>
        <w:numPr>
          <w:ilvl w:val="0"/>
          <w:numId w:val="41"/>
        </w:numPr>
      </w:pPr>
      <w:r w:rsidRPr="00ED73F7">
        <w:rPr>
          <w:b/>
          <w:bCs/>
        </w:rPr>
        <w:t>Institutional Data Protection and Data Sharing Policy (2024)</w:t>
      </w:r>
      <w:r w:rsidRPr="001D2D3C">
        <w:t xml:space="preserve"> – establishing institutional procedures and standards for ethical data management and sharing.</w:t>
      </w:r>
    </w:p>
    <w:p w14:paraId="0607B64A" w14:textId="77777777" w:rsidR="001D2D3C" w:rsidRPr="001D2D3C" w:rsidRDefault="001D2D3C" w:rsidP="00ED73F7">
      <w:pPr>
        <w:pStyle w:val="ListParagraph"/>
        <w:numPr>
          <w:ilvl w:val="0"/>
          <w:numId w:val="41"/>
        </w:numPr>
      </w:pPr>
      <w:r w:rsidRPr="00ED73F7">
        <w:rPr>
          <w:b/>
          <w:bCs/>
        </w:rPr>
        <w:t>International Standards and Guidelines</w:t>
      </w:r>
      <w:r w:rsidRPr="001D2D3C">
        <w:t>, including:</w:t>
      </w:r>
    </w:p>
    <w:p w14:paraId="70E8E86E"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FAIR Data Principles (Findable, Accessible, Interoperable, Reusable)</w:t>
      </w:r>
    </w:p>
    <w:p w14:paraId="3229C2F7"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General Data Protection Regulation (GDPR; Regulation (EU) 2016/679)</w:t>
      </w:r>
    </w:p>
    <w:p w14:paraId="07295314"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Royal Statistical Society (RSS) Professional and Ethical Guidelines</w:t>
      </w:r>
    </w:p>
    <w:p w14:paraId="5764D578"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World Health Organization (WHO) and American Statistical Association (ASA) Research Ethics Frameworks</w:t>
      </w:r>
    </w:p>
    <w:p w14:paraId="525E4711"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Title 21, Code of Federal Regulations, Part 11 (21 CFR Part 11)</w:t>
      </w:r>
    </w:p>
    <w:p w14:paraId="05D9354A" w14:textId="77777777" w:rsidR="001D2D3C"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Health Insurance Portability and Accountability Act (HIPAA)</w:t>
      </w:r>
    </w:p>
    <w:p w14:paraId="651BF1C6" w14:textId="1673A960" w:rsidR="00ED73F7" w:rsidRPr="00ED73F7" w:rsidRDefault="001D2D3C" w:rsidP="00ED73F7">
      <w:pPr>
        <w:pStyle w:val="ListParagraph"/>
        <w:numPr>
          <w:ilvl w:val="1"/>
          <w:numId w:val="41"/>
        </w:numPr>
        <w:spacing w:before="100" w:beforeAutospacing="1" w:after="100" w:afterAutospacing="1" w:line="240" w:lineRule="auto"/>
        <w:ind w:right="0"/>
        <w:rPr>
          <w:color w:val="auto"/>
          <w:szCs w:val="24"/>
        </w:rPr>
      </w:pPr>
      <w:r w:rsidRPr="00ED73F7">
        <w:rPr>
          <w:color w:val="auto"/>
          <w:szCs w:val="24"/>
        </w:rPr>
        <w:t>Federal Information Security Management Act (FISMA)</w:t>
      </w:r>
    </w:p>
    <w:p w14:paraId="7A3590C7" w14:textId="77777777" w:rsidR="001D2D3C" w:rsidRPr="00ED73F7" w:rsidRDefault="001D2D3C" w:rsidP="00ED73F7">
      <w:pPr>
        <w:pStyle w:val="ListParagraph"/>
        <w:numPr>
          <w:ilvl w:val="0"/>
          <w:numId w:val="41"/>
        </w:numPr>
        <w:rPr>
          <w:b/>
        </w:rPr>
      </w:pPr>
      <w:r w:rsidRPr="00ED73F7">
        <w:rPr>
          <w:b/>
        </w:rPr>
        <w:t>Standard Templates and Tools:</w:t>
      </w:r>
    </w:p>
    <w:p w14:paraId="74002C62" w14:textId="77777777" w:rsidR="001D2D3C" w:rsidRPr="001D2D3C" w:rsidRDefault="001D2D3C" w:rsidP="00ED73F7">
      <w:pPr>
        <w:numPr>
          <w:ilvl w:val="1"/>
          <w:numId w:val="28"/>
        </w:numPr>
        <w:spacing w:after="100" w:afterAutospacing="1" w:line="240" w:lineRule="auto"/>
        <w:ind w:right="0"/>
        <w:rPr>
          <w:color w:val="auto"/>
          <w:szCs w:val="24"/>
        </w:rPr>
      </w:pPr>
      <w:r w:rsidRPr="001D2D3C">
        <w:rPr>
          <w:color w:val="auto"/>
          <w:szCs w:val="24"/>
        </w:rPr>
        <w:t>Policy Draft Template</w:t>
      </w:r>
    </w:p>
    <w:p w14:paraId="45B3A2D0" w14:textId="77777777" w:rsidR="001D2D3C" w:rsidRPr="001D2D3C" w:rsidRDefault="001D2D3C" w:rsidP="001D2D3C">
      <w:pPr>
        <w:numPr>
          <w:ilvl w:val="1"/>
          <w:numId w:val="28"/>
        </w:numPr>
        <w:spacing w:before="100" w:beforeAutospacing="1" w:after="100" w:afterAutospacing="1" w:line="240" w:lineRule="auto"/>
        <w:ind w:right="0"/>
        <w:rPr>
          <w:color w:val="auto"/>
          <w:szCs w:val="24"/>
        </w:rPr>
      </w:pPr>
      <w:r w:rsidRPr="001D2D3C">
        <w:rPr>
          <w:color w:val="auto"/>
          <w:szCs w:val="24"/>
        </w:rPr>
        <w:t>Policy Review Checklist</w:t>
      </w:r>
    </w:p>
    <w:p w14:paraId="1779DF1B" w14:textId="77777777" w:rsidR="001D2D3C" w:rsidRPr="001D2D3C" w:rsidRDefault="001D2D3C" w:rsidP="001D2D3C">
      <w:pPr>
        <w:numPr>
          <w:ilvl w:val="1"/>
          <w:numId w:val="28"/>
        </w:numPr>
        <w:spacing w:before="100" w:beforeAutospacing="1" w:after="100" w:afterAutospacing="1" w:line="240" w:lineRule="auto"/>
        <w:ind w:right="0"/>
        <w:rPr>
          <w:color w:val="auto"/>
          <w:szCs w:val="24"/>
        </w:rPr>
      </w:pPr>
      <w:r w:rsidRPr="001D2D3C">
        <w:rPr>
          <w:color w:val="auto"/>
          <w:szCs w:val="24"/>
        </w:rPr>
        <w:t>Policy Approval and Endorsement Form</w:t>
      </w:r>
    </w:p>
    <w:p w14:paraId="794E6590" w14:textId="6D82FC5B" w:rsidR="00072714" w:rsidRPr="00B1522D" w:rsidRDefault="00A430C0" w:rsidP="00B1522D">
      <w:pPr>
        <w:pStyle w:val="Heading1"/>
      </w:pPr>
      <w:r w:rsidRPr="00E1792A">
        <w:t>PROCEDURE</w:t>
      </w:r>
      <w:bookmarkStart w:id="15" w:name="_Toc144316964"/>
      <w:bookmarkEnd w:id="13"/>
      <w:bookmarkEnd w:id="14"/>
    </w:p>
    <w:p w14:paraId="4F9B3854"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1: Needs Assessment</w:t>
      </w:r>
    </w:p>
    <w:p w14:paraId="10CCC177" w14:textId="77777777" w:rsidR="00072714" w:rsidRPr="00072714" w:rsidRDefault="00072714" w:rsidP="00ED73F7">
      <w:pPr>
        <w:pStyle w:val="ListParagraph"/>
        <w:numPr>
          <w:ilvl w:val="0"/>
          <w:numId w:val="42"/>
        </w:numPr>
      </w:pPr>
      <w:r w:rsidRPr="00072714">
        <w:t>Identify policy and strategy gaps through continuous monitoring, audits, user feedback, and performance evaluations.</w:t>
      </w:r>
    </w:p>
    <w:p w14:paraId="1A26A8A2" w14:textId="77777777" w:rsidR="00072714" w:rsidRPr="00072714" w:rsidRDefault="00072714" w:rsidP="00ED73F7">
      <w:pPr>
        <w:pStyle w:val="ListParagraph"/>
        <w:numPr>
          <w:ilvl w:val="0"/>
          <w:numId w:val="42"/>
        </w:numPr>
      </w:pPr>
      <w:r w:rsidRPr="00072714">
        <w:t>Benchmark existing practices against national legislation, institutional frameworks, and international standards (e.g., FAIR principles, GDPR, HIPAA, FISMA, and 21 CFR Part 11).</w:t>
      </w:r>
    </w:p>
    <w:p w14:paraId="581FFD62" w14:textId="77777777" w:rsidR="00072714" w:rsidRPr="00072714" w:rsidRDefault="00072714" w:rsidP="00ED73F7">
      <w:pPr>
        <w:pStyle w:val="ListParagraph"/>
        <w:numPr>
          <w:ilvl w:val="0"/>
          <w:numId w:val="42"/>
        </w:numPr>
      </w:pPr>
      <w:r w:rsidRPr="00072714">
        <w:t>Prioritize identified needs based on operational significance, compliance risk, and emerging data trends.</w:t>
      </w:r>
    </w:p>
    <w:p w14:paraId="5E486AB9"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2: Drafting</w:t>
      </w:r>
    </w:p>
    <w:p w14:paraId="1B33180C" w14:textId="77777777" w:rsidR="00072714" w:rsidRPr="00072714" w:rsidRDefault="00072714" w:rsidP="00ED73F7">
      <w:pPr>
        <w:pStyle w:val="ListParagraph"/>
        <w:numPr>
          <w:ilvl w:val="0"/>
          <w:numId w:val="43"/>
        </w:numPr>
      </w:pPr>
      <w:r w:rsidRPr="00072714">
        <w:t>The DS&amp;AS prepares a draft policy or strategy document using the approved institutional policy template.</w:t>
      </w:r>
    </w:p>
    <w:p w14:paraId="122E39DC" w14:textId="77777777" w:rsidR="00072714" w:rsidRPr="00072714" w:rsidRDefault="00072714" w:rsidP="00ED73F7">
      <w:pPr>
        <w:pStyle w:val="ListParagraph"/>
        <w:numPr>
          <w:ilvl w:val="0"/>
          <w:numId w:val="43"/>
        </w:numPr>
      </w:pPr>
      <w:r w:rsidRPr="00072714">
        <w:t>Integrate provisions for data access and sharing, security and anonymisation, quality assurance, governance workflows, and compliance with applicable laws and ethical guidelines.</w:t>
      </w:r>
    </w:p>
    <w:p w14:paraId="126E7AED" w14:textId="77777777" w:rsidR="00072714" w:rsidRPr="00072714" w:rsidRDefault="00072714" w:rsidP="00ED73F7">
      <w:pPr>
        <w:pStyle w:val="ListParagraph"/>
        <w:numPr>
          <w:ilvl w:val="0"/>
          <w:numId w:val="43"/>
        </w:numPr>
      </w:pPr>
      <w:r w:rsidRPr="00072714">
        <w:t>Ensure alignment with KIPRE’s strategic goals and data stewardship objectives.</w:t>
      </w:r>
    </w:p>
    <w:p w14:paraId="336E8CF2"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3: Internal Review</w:t>
      </w:r>
    </w:p>
    <w:p w14:paraId="3321F841" w14:textId="77777777" w:rsidR="00072714" w:rsidRPr="00072714" w:rsidRDefault="00072714" w:rsidP="00ED73F7">
      <w:pPr>
        <w:pStyle w:val="ListParagraph"/>
        <w:numPr>
          <w:ilvl w:val="0"/>
          <w:numId w:val="44"/>
        </w:numPr>
      </w:pPr>
      <w:r w:rsidRPr="00072714">
        <w:t>The Policy Development Committee (or designated subcommittee) reviews the draft for technical accuracy, legal soundness, and ethical compliance.</w:t>
      </w:r>
    </w:p>
    <w:p w14:paraId="393DB55F" w14:textId="77777777" w:rsidR="00072714" w:rsidRPr="00072714" w:rsidRDefault="00072714" w:rsidP="00ED73F7">
      <w:pPr>
        <w:pStyle w:val="ListParagraph"/>
        <w:numPr>
          <w:ilvl w:val="0"/>
          <w:numId w:val="44"/>
        </w:numPr>
      </w:pPr>
      <w:r w:rsidRPr="00072714">
        <w:t>Feedback is consolidated, and necessary revisions are made to strengthen the document before external circulation.</w:t>
      </w:r>
    </w:p>
    <w:p w14:paraId="0F63DC99"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4: External Consultation</w:t>
      </w:r>
    </w:p>
    <w:p w14:paraId="0512A051" w14:textId="77777777" w:rsidR="00072714" w:rsidRPr="00072714" w:rsidRDefault="00072714" w:rsidP="00ED73F7">
      <w:pPr>
        <w:pStyle w:val="ListParagraph"/>
        <w:numPr>
          <w:ilvl w:val="0"/>
          <w:numId w:val="45"/>
        </w:numPr>
      </w:pPr>
      <w:r w:rsidRPr="00072714">
        <w:t>Where applicable, circulate the revised draft to relevant ethics committees, data protection officers, regulatory bodies, and external partners for expert input.</w:t>
      </w:r>
    </w:p>
    <w:p w14:paraId="369D08E3" w14:textId="77777777" w:rsidR="00072714" w:rsidRPr="00072714" w:rsidRDefault="00072714" w:rsidP="00ED73F7">
      <w:pPr>
        <w:pStyle w:val="ListParagraph"/>
        <w:numPr>
          <w:ilvl w:val="0"/>
          <w:numId w:val="45"/>
        </w:numPr>
      </w:pPr>
      <w:r w:rsidRPr="00072714">
        <w:t>Document all feedback, decisions, and modifications in a review log to maintain transparency and traceability.</w:t>
      </w:r>
    </w:p>
    <w:p w14:paraId="416AAE8D"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5: Approval</w:t>
      </w:r>
    </w:p>
    <w:p w14:paraId="34B73901" w14:textId="77777777" w:rsidR="00072714" w:rsidRPr="00072714" w:rsidRDefault="00072714" w:rsidP="00ED73F7">
      <w:pPr>
        <w:pStyle w:val="ListParagraph"/>
        <w:numPr>
          <w:ilvl w:val="0"/>
          <w:numId w:val="46"/>
        </w:numPr>
      </w:pPr>
      <w:r w:rsidRPr="00072714">
        <w:t>Submit the final draft to the Director of Research and Product Development and institutional leadership for official review and approval.</w:t>
      </w:r>
    </w:p>
    <w:p w14:paraId="7412B6C6" w14:textId="77777777" w:rsidR="00072714" w:rsidRPr="00072714" w:rsidRDefault="00072714" w:rsidP="00ED73F7">
      <w:pPr>
        <w:pStyle w:val="ListParagraph"/>
        <w:numPr>
          <w:ilvl w:val="0"/>
          <w:numId w:val="46"/>
        </w:numPr>
      </w:pPr>
      <w:r w:rsidRPr="00072714">
        <w:t>Ensure that all approval records are documented and archived in accordance with institutional data governance procedures.</w:t>
      </w:r>
    </w:p>
    <w:p w14:paraId="0CFABADA"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6: Dissemination</w:t>
      </w:r>
    </w:p>
    <w:p w14:paraId="09DEE67C" w14:textId="77777777" w:rsidR="00072714" w:rsidRPr="00072714" w:rsidRDefault="00072714" w:rsidP="00ED73F7">
      <w:pPr>
        <w:pStyle w:val="ListParagraph"/>
        <w:numPr>
          <w:ilvl w:val="0"/>
          <w:numId w:val="47"/>
        </w:numPr>
      </w:pPr>
      <w:r w:rsidRPr="00072714">
        <w:t>Publish the approved policy on KIPRE’s intranet, data governance portal, or other designated platforms.</w:t>
      </w:r>
    </w:p>
    <w:p w14:paraId="473CD9BF" w14:textId="77777777" w:rsidR="00072714" w:rsidRPr="00072714" w:rsidRDefault="00072714" w:rsidP="00ED73F7">
      <w:pPr>
        <w:pStyle w:val="ListParagraph"/>
        <w:numPr>
          <w:ilvl w:val="0"/>
          <w:numId w:val="47"/>
        </w:numPr>
      </w:pPr>
      <w:r w:rsidRPr="00072714">
        <w:t>Conduct staff sensitization sessions and targeted training workshops to ensure awareness and compliance with new or revised policies.</w:t>
      </w:r>
    </w:p>
    <w:p w14:paraId="047A3ECB"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b/>
          <w:bCs/>
          <w:color w:val="auto"/>
          <w:szCs w:val="24"/>
        </w:rPr>
        <w:t>Step 7: Monitoring and Review</w:t>
      </w:r>
    </w:p>
    <w:p w14:paraId="60C7B362" w14:textId="77777777" w:rsidR="00072714" w:rsidRPr="00072714" w:rsidRDefault="00072714" w:rsidP="00ED73F7">
      <w:pPr>
        <w:pStyle w:val="ListParagraph"/>
        <w:numPr>
          <w:ilvl w:val="0"/>
          <w:numId w:val="48"/>
        </w:numPr>
      </w:pPr>
      <w:r w:rsidRPr="00072714">
        <w:t>The DS&amp;AS monitors policy implementation through routine audits, performance indicators (KPIs), and data governance dashboards.</w:t>
      </w:r>
    </w:p>
    <w:p w14:paraId="683994EF" w14:textId="77777777" w:rsidR="00072714" w:rsidRPr="00072714" w:rsidRDefault="00072714" w:rsidP="00ED73F7">
      <w:pPr>
        <w:pStyle w:val="ListParagraph"/>
        <w:numPr>
          <w:ilvl w:val="0"/>
          <w:numId w:val="48"/>
        </w:numPr>
      </w:pPr>
      <w:r w:rsidRPr="00072714">
        <w:t>Review and update policies as necessary following the annual or comprehensive 3-year review cycle, or when triggered by regulatory or operational changes.</w:t>
      </w:r>
    </w:p>
    <w:p w14:paraId="3D02D6C2" w14:textId="1D9131A2" w:rsidR="00B759DA" w:rsidRPr="00E1792A" w:rsidRDefault="007F2FA3" w:rsidP="00E369A4">
      <w:pPr>
        <w:pStyle w:val="Heading1"/>
        <w:spacing w:before="240"/>
        <w:rPr>
          <w:szCs w:val="24"/>
        </w:rPr>
      </w:pPr>
      <w:r w:rsidRPr="00E1792A">
        <w:rPr>
          <w:szCs w:val="24"/>
        </w:rPr>
        <w:t>REFERENCES</w:t>
      </w:r>
      <w:bookmarkEnd w:id="15"/>
    </w:p>
    <w:p w14:paraId="169D40F0" w14:textId="35D90490" w:rsidR="00072714" w:rsidRPr="00072714" w:rsidRDefault="002435E5" w:rsidP="00072714">
      <w:pPr>
        <w:pStyle w:val="ListParagraph"/>
        <w:ind w:left="0"/>
      </w:pPr>
      <w:r>
        <w:rPr>
          <w:szCs w:val="24"/>
        </w:rPr>
        <w:t xml:space="preserve"> </w:t>
      </w:r>
      <w:bookmarkEnd w:id="3"/>
      <w:r w:rsidR="00072714" w:rsidRPr="00072714">
        <w:rPr>
          <w:color w:val="auto"/>
          <w:szCs w:val="24"/>
        </w:rPr>
        <w:t>The following key documents and regulatory frameworks shall guide the development, implementation, and review of DS&amp;AS data analytics policies and strategies:</w:t>
      </w:r>
    </w:p>
    <w:p w14:paraId="29D10617" w14:textId="77777777" w:rsidR="00072714" w:rsidRPr="00072714" w:rsidRDefault="00072714" w:rsidP="00ED73F7">
      <w:pPr>
        <w:pStyle w:val="ListParagraph"/>
        <w:numPr>
          <w:ilvl w:val="0"/>
          <w:numId w:val="49"/>
        </w:numPr>
      </w:pPr>
      <w:r w:rsidRPr="00072714">
        <w:t>Kenya Data Protection Act (2019) – Government of Kenya.</w:t>
      </w:r>
    </w:p>
    <w:p w14:paraId="52E35E18" w14:textId="77777777" w:rsidR="00072714" w:rsidRPr="00072714" w:rsidRDefault="00072714" w:rsidP="00ED73F7">
      <w:pPr>
        <w:pStyle w:val="ListParagraph"/>
        <w:numPr>
          <w:ilvl w:val="0"/>
          <w:numId w:val="49"/>
        </w:numPr>
      </w:pPr>
      <w:r w:rsidRPr="00072714">
        <w:t>KIPRE Strategic Plan (2023–2027) – Kenya Institute of Primate Research.</w:t>
      </w:r>
    </w:p>
    <w:p w14:paraId="779DB254" w14:textId="77777777" w:rsidR="00072714" w:rsidRPr="00072714" w:rsidRDefault="00072714" w:rsidP="00ED73F7">
      <w:pPr>
        <w:pStyle w:val="ListParagraph"/>
        <w:numPr>
          <w:ilvl w:val="0"/>
          <w:numId w:val="49"/>
        </w:numPr>
      </w:pPr>
      <w:r w:rsidRPr="00072714">
        <w:t>Institutional Data Protection and Data Sharing Policy (2024) – KIPRE.</w:t>
      </w:r>
    </w:p>
    <w:p w14:paraId="77CF4B21" w14:textId="77777777" w:rsidR="00072714" w:rsidRPr="00072714" w:rsidRDefault="00072714" w:rsidP="00ED73F7">
      <w:pPr>
        <w:pStyle w:val="ListParagraph"/>
        <w:numPr>
          <w:ilvl w:val="0"/>
          <w:numId w:val="49"/>
        </w:numPr>
      </w:pPr>
      <w:r w:rsidRPr="00072714">
        <w:t>Data Science &amp; Analytics Section (DS&amp;AS) Strategic Framework and Policy Proposal – KIPRE.</w:t>
      </w:r>
    </w:p>
    <w:p w14:paraId="668232B0" w14:textId="77777777" w:rsidR="00072714" w:rsidRPr="00072714" w:rsidRDefault="00072714" w:rsidP="00ED73F7">
      <w:pPr>
        <w:pStyle w:val="ListParagraph"/>
        <w:numPr>
          <w:ilvl w:val="0"/>
          <w:numId w:val="49"/>
        </w:numPr>
      </w:pPr>
      <w:r w:rsidRPr="00072714">
        <w:t xml:space="preserve">FAIR Guiding Principles for Scientific Data Management and Stewardship – Wilkinson et al., </w:t>
      </w:r>
      <w:r w:rsidRPr="00ED73F7">
        <w:rPr>
          <w:i/>
          <w:iCs/>
        </w:rPr>
        <w:t>Scientific Data</w:t>
      </w:r>
      <w:r w:rsidRPr="00072714">
        <w:t>, 2016.</w:t>
      </w:r>
    </w:p>
    <w:p w14:paraId="2BDF73F6" w14:textId="77777777" w:rsidR="00072714" w:rsidRPr="00072714" w:rsidRDefault="00072714" w:rsidP="00ED73F7">
      <w:pPr>
        <w:pStyle w:val="ListParagraph"/>
        <w:numPr>
          <w:ilvl w:val="0"/>
          <w:numId w:val="49"/>
        </w:numPr>
      </w:pPr>
      <w:r w:rsidRPr="00072714">
        <w:t>Title 21, Code of Federal Regulations, Part 11 (21 CFR Part 11) – U.S. Food and Drug Administration (FDA).</w:t>
      </w:r>
    </w:p>
    <w:p w14:paraId="36707F08" w14:textId="77777777" w:rsidR="00072714" w:rsidRPr="00072714" w:rsidRDefault="00072714" w:rsidP="00ED73F7">
      <w:pPr>
        <w:pStyle w:val="ListParagraph"/>
        <w:numPr>
          <w:ilvl w:val="0"/>
          <w:numId w:val="49"/>
        </w:numPr>
      </w:pPr>
      <w:r w:rsidRPr="00072714">
        <w:t>General Data Protection Regulation (GDPR) – Regulation (EU) 2016/679 of the European Parliament and Council.</w:t>
      </w:r>
    </w:p>
    <w:p w14:paraId="14C62782" w14:textId="77777777" w:rsidR="00072714" w:rsidRPr="00072714" w:rsidRDefault="00072714" w:rsidP="00ED73F7">
      <w:pPr>
        <w:pStyle w:val="ListParagraph"/>
        <w:numPr>
          <w:ilvl w:val="0"/>
          <w:numId w:val="49"/>
        </w:numPr>
      </w:pPr>
      <w:r w:rsidRPr="00072714">
        <w:t>Health Insurance Portability and Accountability Act (HIPAA) – U.S. Department of Health and Human Services (HHS), 1996.</w:t>
      </w:r>
    </w:p>
    <w:p w14:paraId="10E6524A" w14:textId="77777777" w:rsidR="00072714" w:rsidRPr="00072714" w:rsidRDefault="00072714" w:rsidP="00ED73F7">
      <w:pPr>
        <w:pStyle w:val="ListParagraph"/>
        <w:numPr>
          <w:ilvl w:val="0"/>
          <w:numId w:val="49"/>
        </w:numPr>
      </w:pPr>
      <w:r w:rsidRPr="00072714">
        <w:t>Federal Information Security Management Act (FISMA) – U.S. Congress, 2002 (amended 2014).</w:t>
      </w:r>
    </w:p>
    <w:p w14:paraId="6EEF8CDD" w14:textId="77777777" w:rsidR="00072714" w:rsidRPr="00072714" w:rsidRDefault="00072714" w:rsidP="00ED73F7">
      <w:pPr>
        <w:pStyle w:val="ListParagraph"/>
        <w:numPr>
          <w:ilvl w:val="0"/>
          <w:numId w:val="49"/>
        </w:numPr>
      </w:pPr>
      <w:r w:rsidRPr="00072714">
        <w:t>Royal Statistical Society (RSS) Code of Conduct and Professional Ethics – RSS, United Kingdom.</w:t>
      </w:r>
    </w:p>
    <w:p w14:paraId="76FBEC06" w14:textId="77777777" w:rsidR="00072714" w:rsidRPr="00072714" w:rsidRDefault="00072714" w:rsidP="00ED73F7">
      <w:pPr>
        <w:pStyle w:val="ListParagraph"/>
        <w:numPr>
          <w:ilvl w:val="0"/>
          <w:numId w:val="49"/>
        </w:numPr>
      </w:pPr>
      <w:r w:rsidRPr="00072714">
        <w:t>World Health Organization (WHO) and American Statistical Association (ASA) Research Ethics Guidelines.</w:t>
      </w:r>
    </w:p>
    <w:p w14:paraId="399A9831" w14:textId="77777777" w:rsidR="00072714" w:rsidRPr="00072714" w:rsidRDefault="00072714" w:rsidP="00ED73F7">
      <w:pPr>
        <w:pStyle w:val="ListParagraph"/>
        <w:numPr>
          <w:ilvl w:val="0"/>
          <w:numId w:val="49"/>
        </w:numPr>
      </w:pPr>
      <w:r w:rsidRPr="00072714">
        <w:t>Institutional Standard Operating Procedure Manual – KIPRE.</w:t>
      </w:r>
    </w:p>
    <w:p w14:paraId="7ACD6CEF" w14:textId="77777777" w:rsidR="00072714" w:rsidRPr="00072714" w:rsidRDefault="00072714" w:rsidP="00072714">
      <w:pPr>
        <w:spacing w:before="100" w:beforeAutospacing="1" w:after="100" w:afterAutospacing="1" w:line="240" w:lineRule="auto"/>
        <w:ind w:left="0" w:right="0" w:firstLine="0"/>
        <w:rPr>
          <w:color w:val="auto"/>
          <w:szCs w:val="24"/>
        </w:rPr>
      </w:pPr>
      <w:r w:rsidRPr="00072714">
        <w:rPr>
          <w:i/>
          <w:iCs/>
          <w:color w:val="auto"/>
          <w:szCs w:val="24"/>
        </w:rPr>
        <w:t>Note: This section shall be updated periodically to reflect new or revised laws, standards, and institutional policies relevant to DS&amp;AS operations.</w:t>
      </w:r>
    </w:p>
    <w:p w14:paraId="2B4EDB42" w14:textId="39FBD4B8" w:rsidR="004214D4" w:rsidRPr="00E1792A" w:rsidRDefault="004214D4" w:rsidP="00072714">
      <w:pPr>
        <w:spacing w:after="160" w:line="259" w:lineRule="auto"/>
        <w:ind w:left="0" w:right="0" w:firstLine="0"/>
        <w:rPr>
          <w:szCs w:val="24"/>
        </w:rPr>
      </w:pPr>
    </w:p>
    <w:sectPr w:rsidR="004214D4" w:rsidRPr="00E1792A"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BE24C" w14:textId="77777777" w:rsidR="003C4C41" w:rsidRDefault="003C4C41">
      <w:pPr>
        <w:spacing w:after="0" w:line="240" w:lineRule="auto"/>
      </w:pPr>
      <w:r>
        <w:separator/>
      </w:r>
    </w:p>
  </w:endnote>
  <w:endnote w:type="continuationSeparator" w:id="0">
    <w:p w14:paraId="6385BA39" w14:textId="77777777" w:rsidR="003C4C41" w:rsidRDefault="003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3557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35570">
              <w:rPr>
                <w:b/>
                <w:bCs/>
                <w:noProof/>
              </w:rPr>
              <w:t>9</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863EA" w14:textId="77777777" w:rsidR="003C4C41" w:rsidRDefault="003C4C41">
      <w:pPr>
        <w:spacing w:after="0" w:line="240" w:lineRule="auto"/>
      </w:pPr>
      <w:r>
        <w:separator/>
      </w:r>
    </w:p>
  </w:footnote>
  <w:footnote w:type="continuationSeparator" w:id="0">
    <w:p w14:paraId="7E2C4318" w14:textId="77777777" w:rsidR="003C4C41" w:rsidRDefault="003C4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4370B6"/>
    <w:multiLevelType w:val="multilevel"/>
    <w:tmpl w:val="6AF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16CE"/>
    <w:multiLevelType w:val="multilevel"/>
    <w:tmpl w:val="0EC4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00F60"/>
    <w:multiLevelType w:val="multilevel"/>
    <w:tmpl w:val="214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9329D"/>
    <w:multiLevelType w:val="multilevel"/>
    <w:tmpl w:val="D4CC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958E6"/>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65624"/>
    <w:multiLevelType w:val="hybridMultilevel"/>
    <w:tmpl w:val="D44612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87E4EB9"/>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442BB"/>
    <w:multiLevelType w:val="multilevel"/>
    <w:tmpl w:val="8F4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12CF8"/>
    <w:multiLevelType w:val="hybridMultilevel"/>
    <w:tmpl w:val="B9EE8CD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2085426"/>
    <w:multiLevelType w:val="multilevel"/>
    <w:tmpl w:val="E27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96EBF"/>
    <w:multiLevelType w:val="multilevel"/>
    <w:tmpl w:val="B02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E1A92"/>
    <w:multiLevelType w:val="multilevel"/>
    <w:tmpl w:val="2D6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A6169"/>
    <w:multiLevelType w:val="hybridMultilevel"/>
    <w:tmpl w:val="6F241F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2A6573"/>
    <w:multiLevelType w:val="multilevel"/>
    <w:tmpl w:val="56B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B3737"/>
    <w:multiLevelType w:val="hybridMultilevel"/>
    <w:tmpl w:val="EB7C82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2D9571F1"/>
    <w:multiLevelType w:val="multilevel"/>
    <w:tmpl w:val="096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55B94"/>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91F0E"/>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06041"/>
    <w:multiLevelType w:val="multilevel"/>
    <w:tmpl w:val="DFC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61173DF"/>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85DC4"/>
    <w:multiLevelType w:val="multilevel"/>
    <w:tmpl w:val="C22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F379B"/>
    <w:multiLevelType w:val="multilevel"/>
    <w:tmpl w:val="FDB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4082F"/>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A5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D57E1D"/>
    <w:multiLevelType w:val="multilevel"/>
    <w:tmpl w:val="E2B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26FA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7E3996"/>
    <w:multiLevelType w:val="multilevel"/>
    <w:tmpl w:val="FE3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43D19"/>
    <w:multiLevelType w:val="multilevel"/>
    <w:tmpl w:val="724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07C97"/>
    <w:multiLevelType w:val="multilevel"/>
    <w:tmpl w:val="1866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3226C"/>
    <w:multiLevelType w:val="hybridMultilevel"/>
    <w:tmpl w:val="732E3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9D038B"/>
    <w:multiLevelType w:val="multilevel"/>
    <w:tmpl w:val="427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70F99"/>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C528D"/>
    <w:multiLevelType w:val="multilevel"/>
    <w:tmpl w:val="4470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41EB6"/>
    <w:multiLevelType w:val="multilevel"/>
    <w:tmpl w:val="DA1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61752"/>
    <w:multiLevelType w:val="hybridMultilevel"/>
    <w:tmpl w:val="C5BE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A10EFF"/>
    <w:multiLevelType w:val="multilevel"/>
    <w:tmpl w:val="24F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4033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7344E74"/>
    <w:multiLevelType w:val="hybridMultilevel"/>
    <w:tmpl w:val="C9FC589A"/>
    <w:lvl w:ilvl="0" w:tplc="883C0734">
      <w:start w:val="1"/>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40" w15:restartNumberingAfterBreak="0">
    <w:nsid w:val="775F5680"/>
    <w:multiLevelType w:val="multilevel"/>
    <w:tmpl w:val="676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020E2"/>
    <w:multiLevelType w:val="multilevel"/>
    <w:tmpl w:val="5FA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6564C9"/>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50095"/>
    <w:multiLevelType w:val="multilevel"/>
    <w:tmpl w:val="098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8597F"/>
    <w:multiLevelType w:val="hybridMultilevel"/>
    <w:tmpl w:val="6F6600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CFA6039"/>
    <w:multiLevelType w:val="multilevel"/>
    <w:tmpl w:val="7B1A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F4351"/>
    <w:multiLevelType w:val="multilevel"/>
    <w:tmpl w:val="86E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20"/>
  </w:num>
  <w:num w:numId="3">
    <w:abstractNumId w:val="20"/>
    <w:lvlOverride w:ilvl="0">
      <w:startOverride w:val="1"/>
    </w:lvlOverride>
    <w:lvlOverride w:ilvl="1">
      <w:startOverride w:val="2"/>
    </w:lvlOverride>
  </w:num>
  <w:num w:numId="4">
    <w:abstractNumId w:val="31"/>
  </w:num>
  <w:num w:numId="5">
    <w:abstractNumId w:val="39"/>
  </w:num>
  <w:num w:numId="6">
    <w:abstractNumId w:val="36"/>
  </w:num>
  <w:num w:numId="7">
    <w:abstractNumId w:val="20"/>
    <w:lvlOverride w:ilvl="0">
      <w:startOverride w:val="1"/>
    </w:lvlOverride>
  </w:num>
  <w:num w:numId="8">
    <w:abstractNumId w:val="27"/>
  </w:num>
  <w:num w:numId="9">
    <w:abstractNumId w:val="25"/>
  </w:num>
  <w:num w:numId="10">
    <w:abstractNumId w:val="30"/>
  </w:num>
  <w:num w:numId="11">
    <w:abstractNumId w:val="38"/>
  </w:num>
  <w:num w:numId="12">
    <w:abstractNumId w:val="2"/>
  </w:num>
  <w:num w:numId="13">
    <w:abstractNumId w:val="34"/>
  </w:num>
  <w:num w:numId="14">
    <w:abstractNumId w:val="22"/>
  </w:num>
  <w:num w:numId="15">
    <w:abstractNumId w:val="16"/>
  </w:num>
  <w:num w:numId="16">
    <w:abstractNumId w:val="10"/>
  </w:num>
  <w:num w:numId="17">
    <w:abstractNumId w:val="12"/>
  </w:num>
  <w:num w:numId="18">
    <w:abstractNumId w:val="41"/>
  </w:num>
  <w:num w:numId="19">
    <w:abstractNumId w:val="19"/>
  </w:num>
  <w:num w:numId="20">
    <w:abstractNumId w:val="40"/>
  </w:num>
  <w:num w:numId="21">
    <w:abstractNumId w:val="37"/>
  </w:num>
  <w:num w:numId="22">
    <w:abstractNumId w:val="29"/>
  </w:num>
  <w:num w:numId="23">
    <w:abstractNumId w:val="28"/>
  </w:num>
  <w:num w:numId="24">
    <w:abstractNumId w:val="35"/>
  </w:num>
  <w:num w:numId="25">
    <w:abstractNumId w:val="14"/>
  </w:num>
  <w:num w:numId="26">
    <w:abstractNumId w:val="23"/>
  </w:num>
  <w:num w:numId="27">
    <w:abstractNumId w:val="32"/>
  </w:num>
  <w:num w:numId="28">
    <w:abstractNumId w:val="43"/>
  </w:num>
  <w:num w:numId="29">
    <w:abstractNumId w:val="46"/>
  </w:num>
  <w:num w:numId="30">
    <w:abstractNumId w:val="1"/>
  </w:num>
  <w:num w:numId="31">
    <w:abstractNumId w:val="26"/>
  </w:num>
  <w:num w:numId="32">
    <w:abstractNumId w:val="8"/>
  </w:num>
  <w:num w:numId="33">
    <w:abstractNumId w:val="11"/>
  </w:num>
  <w:num w:numId="34">
    <w:abstractNumId w:val="44"/>
  </w:num>
  <w:num w:numId="35">
    <w:abstractNumId w:val="3"/>
  </w:num>
  <w:num w:numId="36">
    <w:abstractNumId w:val="4"/>
  </w:num>
  <w:num w:numId="37">
    <w:abstractNumId w:val="15"/>
  </w:num>
  <w:num w:numId="38">
    <w:abstractNumId w:val="45"/>
  </w:num>
  <w:num w:numId="39">
    <w:abstractNumId w:val="13"/>
  </w:num>
  <w:num w:numId="40">
    <w:abstractNumId w:val="6"/>
  </w:num>
  <w:num w:numId="41">
    <w:abstractNumId w:val="18"/>
  </w:num>
  <w:num w:numId="42">
    <w:abstractNumId w:val="7"/>
  </w:num>
  <w:num w:numId="43">
    <w:abstractNumId w:val="5"/>
  </w:num>
  <w:num w:numId="44">
    <w:abstractNumId w:val="47"/>
  </w:num>
  <w:num w:numId="45">
    <w:abstractNumId w:val="33"/>
  </w:num>
  <w:num w:numId="46">
    <w:abstractNumId w:val="17"/>
  </w:num>
  <w:num w:numId="47">
    <w:abstractNumId w:val="21"/>
  </w:num>
  <w:num w:numId="48">
    <w:abstractNumId w:val="24"/>
  </w:num>
  <w:num w:numId="4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538AB"/>
    <w:rsid w:val="00054F3F"/>
    <w:rsid w:val="00072714"/>
    <w:rsid w:val="00074472"/>
    <w:rsid w:val="00094105"/>
    <w:rsid w:val="00095C93"/>
    <w:rsid w:val="000A1CA5"/>
    <w:rsid w:val="000B18F5"/>
    <w:rsid w:val="000B1B4B"/>
    <w:rsid w:val="000B2D17"/>
    <w:rsid w:val="000C03B0"/>
    <w:rsid w:val="000C1093"/>
    <w:rsid w:val="000D7A0C"/>
    <w:rsid w:val="000E226C"/>
    <w:rsid w:val="000F3921"/>
    <w:rsid w:val="000F76DD"/>
    <w:rsid w:val="00100E18"/>
    <w:rsid w:val="001100ED"/>
    <w:rsid w:val="0011307B"/>
    <w:rsid w:val="00116944"/>
    <w:rsid w:val="00117DAE"/>
    <w:rsid w:val="00126D9F"/>
    <w:rsid w:val="00133A10"/>
    <w:rsid w:val="001411C2"/>
    <w:rsid w:val="00143D88"/>
    <w:rsid w:val="00156214"/>
    <w:rsid w:val="001731DF"/>
    <w:rsid w:val="00174097"/>
    <w:rsid w:val="00180BB1"/>
    <w:rsid w:val="00183011"/>
    <w:rsid w:val="0018388F"/>
    <w:rsid w:val="00184BFA"/>
    <w:rsid w:val="001864A5"/>
    <w:rsid w:val="00187DDD"/>
    <w:rsid w:val="0019722A"/>
    <w:rsid w:val="001A0E87"/>
    <w:rsid w:val="001B0B75"/>
    <w:rsid w:val="001B25DD"/>
    <w:rsid w:val="001D06F0"/>
    <w:rsid w:val="001D2D3C"/>
    <w:rsid w:val="001E2093"/>
    <w:rsid w:val="00202696"/>
    <w:rsid w:val="00204D90"/>
    <w:rsid w:val="00205F75"/>
    <w:rsid w:val="002105F9"/>
    <w:rsid w:val="002120A4"/>
    <w:rsid w:val="0021357A"/>
    <w:rsid w:val="00216D48"/>
    <w:rsid w:val="00217F90"/>
    <w:rsid w:val="002278C9"/>
    <w:rsid w:val="00233D47"/>
    <w:rsid w:val="0023794A"/>
    <w:rsid w:val="002435E5"/>
    <w:rsid w:val="00243ACA"/>
    <w:rsid w:val="002464AA"/>
    <w:rsid w:val="00264F83"/>
    <w:rsid w:val="002710FF"/>
    <w:rsid w:val="00292493"/>
    <w:rsid w:val="002A0BFB"/>
    <w:rsid w:val="002B12BD"/>
    <w:rsid w:val="002B2E3B"/>
    <w:rsid w:val="002B3CE9"/>
    <w:rsid w:val="002B60D4"/>
    <w:rsid w:val="002D0218"/>
    <w:rsid w:val="002D0D33"/>
    <w:rsid w:val="002D6EB5"/>
    <w:rsid w:val="002D7D42"/>
    <w:rsid w:val="002E6FA8"/>
    <w:rsid w:val="00302411"/>
    <w:rsid w:val="00313E92"/>
    <w:rsid w:val="00322F68"/>
    <w:rsid w:val="00323EAB"/>
    <w:rsid w:val="00337D55"/>
    <w:rsid w:val="00352B45"/>
    <w:rsid w:val="003714E1"/>
    <w:rsid w:val="00373327"/>
    <w:rsid w:val="00380885"/>
    <w:rsid w:val="0038233C"/>
    <w:rsid w:val="00390470"/>
    <w:rsid w:val="00392EC2"/>
    <w:rsid w:val="0039643F"/>
    <w:rsid w:val="003C4C41"/>
    <w:rsid w:val="003C630C"/>
    <w:rsid w:val="003C7B18"/>
    <w:rsid w:val="003D1661"/>
    <w:rsid w:val="003E2261"/>
    <w:rsid w:val="003F193E"/>
    <w:rsid w:val="004214D4"/>
    <w:rsid w:val="00421C0A"/>
    <w:rsid w:val="00437031"/>
    <w:rsid w:val="004375F6"/>
    <w:rsid w:val="004378C3"/>
    <w:rsid w:val="00450562"/>
    <w:rsid w:val="0045405D"/>
    <w:rsid w:val="00456244"/>
    <w:rsid w:val="00462537"/>
    <w:rsid w:val="00462E41"/>
    <w:rsid w:val="004669B2"/>
    <w:rsid w:val="004706E8"/>
    <w:rsid w:val="004805B9"/>
    <w:rsid w:val="0048449C"/>
    <w:rsid w:val="00485B82"/>
    <w:rsid w:val="00487D9F"/>
    <w:rsid w:val="00496317"/>
    <w:rsid w:val="004B152E"/>
    <w:rsid w:val="004B3EBC"/>
    <w:rsid w:val="004B4450"/>
    <w:rsid w:val="004D20A3"/>
    <w:rsid w:val="004D6836"/>
    <w:rsid w:val="004E15C1"/>
    <w:rsid w:val="004F32B2"/>
    <w:rsid w:val="004F5848"/>
    <w:rsid w:val="004F67D0"/>
    <w:rsid w:val="00514CB0"/>
    <w:rsid w:val="00521B83"/>
    <w:rsid w:val="00522091"/>
    <w:rsid w:val="0053193F"/>
    <w:rsid w:val="00540961"/>
    <w:rsid w:val="0055410B"/>
    <w:rsid w:val="0057101F"/>
    <w:rsid w:val="005A0490"/>
    <w:rsid w:val="005A6BBB"/>
    <w:rsid w:val="005B0652"/>
    <w:rsid w:val="005D251A"/>
    <w:rsid w:val="005D3141"/>
    <w:rsid w:val="005D336C"/>
    <w:rsid w:val="005D5AB8"/>
    <w:rsid w:val="005E75C7"/>
    <w:rsid w:val="005F2E98"/>
    <w:rsid w:val="00632A3F"/>
    <w:rsid w:val="00645C25"/>
    <w:rsid w:val="00645E62"/>
    <w:rsid w:val="00650C00"/>
    <w:rsid w:val="0065183B"/>
    <w:rsid w:val="00660D18"/>
    <w:rsid w:val="00665F59"/>
    <w:rsid w:val="00673FFE"/>
    <w:rsid w:val="006758A7"/>
    <w:rsid w:val="00692351"/>
    <w:rsid w:val="006970A8"/>
    <w:rsid w:val="006A62C5"/>
    <w:rsid w:val="006A76BD"/>
    <w:rsid w:val="006A79BA"/>
    <w:rsid w:val="006B4798"/>
    <w:rsid w:val="006D3EF3"/>
    <w:rsid w:val="006E175C"/>
    <w:rsid w:val="006F2417"/>
    <w:rsid w:val="006F3370"/>
    <w:rsid w:val="006F36C2"/>
    <w:rsid w:val="00707046"/>
    <w:rsid w:val="00721E2E"/>
    <w:rsid w:val="00735570"/>
    <w:rsid w:val="00735C74"/>
    <w:rsid w:val="007369B6"/>
    <w:rsid w:val="00753250"/>
    <w:rsid w:val="00755761"/>
    <w:rsid w:val="0076537C"/>
    <w:rsid w:val="00765652"/>
    <w:rsid w:val="00770F50"/>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2FA3"/>
    <w:rsid w:val="008233F2"/>
    <w:rsid w:val="00832E9C"/>
    <w:rsid w:val="00836F71"/>
    <w:rsid w:val="00841073"/>
    <w:rsid w:val="00846B02"/>
    <w:rsid w:val="00856A75"/>
    <w:rsid w:val="0085792B"/>
    <w:rsid w:val="00892201"/>
    <w:rsid w:val="00897856"/>
    <w:rsid w:val="008A1EB6"/>
    <w:rsid w:val="008A24C4"/>
    <w:rsid w:val="008A6C38"/>
    <w:rsid w:val="008B212B"/>
    <w:rsid w:val="008B3DF4"/>
    <w:rsid w:val="008B5059"/>
    <w:rsid w:val="008C1F2A"/>
    <w:rsid w:val="008D48D3"/>
    <w:rsid w:val="008D4BE3"/>
    <w:rsid w:val="008D4E7B"/>
    <w:rsid w:val="008E5E95"/>
    <w:rsid w:val="008F3B98"/>
    <w:rsid w:val="008F60EA"/>
    <w:rsid w:val="008F657D"/>
    <w:rsid w:val="008F6C3A"/>
    <w:rsid w:val="0091500B"/>
    <w:rsid w:val="009248C0"/>
    <w:rsid w:val="00932FA1"/>
    <w:rsid w:val="00935018"/>
    <w:rsid w:val="00936884"/>
    <w:rsid w:val="009369F0"/>
    <w:rsid w:val="009535AC"/>
    <w:rsid w:val="00957A34"/>
    <w:rsid w:val="00960A47"/>
    <w:rsid w:val="00963DF9"/>
    <w:rsid w:val="00976216"/>
    <w:rsid w:val="00980DCD"/>
    <w:rsid w:val="00987CC2"/>
    <w:rsid w:val="009956D5"/>
    <w:rsid w:val="00997FF2"/>
    <w:rsid w:val="009A1CD9"/>
    <w:rsid w:val="009A27FA"/>
    <w:rsid w:val="009A76CF"/>
    <w:rsid w:val="009C0190"/>
    <w:rsid w:val="009C1272"/>
    <w:rsid w:val="009C3775"/>
    <w:rsid w:val="009C3A43"/>
    <w:rsid w:val="009E0F63"/>
    <w:rsid w:val="009F0865"/>
    <w:rsid w:val="00A014E6"/>
    <w:rsid w:val="00A03278"/>
    <w:rsid w:val="00A3241D"/>
    <w:rsid w:val="00A3567D"/>
    <w:rsid w:val="00A41052"/>
    <w:rsid w:val="00A430C0"/>
    <w:rsid w:val="00A51C24"/>
    <w:rsid w:val="00A54E0E"/>
    <w:rsid w:val="00A70222"/>
    <w:rsid w:val="00A731C5"/>
    <w:rsid w:val="00A737D5"/>
    <w:rsid w:val="00A96A72"/>
    <w:rsid w:val="00A97E71"/>
    <w:rsid w:val="00AA04C4"/>
    <w:rsid w:val="00AA651E"/>
    <w:rsid w:val="00AA6AB4"/>
    <w:rsid w:val="00AB562B"/>
    <w:rsid w:val="00AD72BF"/>
    <w:rsid w:val="00AE1650"/>
    <w:rsid w:val="00AF274B"/>
    <w:rsid w:val="00AF28B5"/>
    <w:rsid w:val="00B07AE4"/>
    <w:rsid w:val="00B1522D"/>
    <w:rsid w:val="00B20316"/>
    <w:rsid w:val="00B21707"/>
    <w:rsid w:val="00B273B7"/>
    <w:rsid w:val="00B405A3"/>
    <w:rsid w:val="00B46FEE"/>
    <w:rsid w:val="00B54774"/>
    <w:rsid w:val="00B57D2D"/>
    <w:rsid w:val="00B61A26"/>
    <w:rsid w:val="00B624A2"/>
    <w:rsid w:val="00B634F4"/>
    <w:rsid w:val="00B67345"/>
    <w:rsid w:val="00B71509"/>
    <w:rsid w:val="00B759DA"/>
    <w:rsid w:val="00B80F08"/>
    <w:rsid w:val="00B8198B"/>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C003BA"/>
    <w:rsid w:val="00C04C44"/>
    <w:rsid w:val="00C06696"/>
    <w:rsid w:val="00C07B01"/>
    <w:rsid w:val="00C35EDD"/>
    <w:rsid w:val="00C3629C"/>
    <w:rsid w:val="00C514C7"/>
    <w:rsid w:val="00C53D18"/>
    <w:rsid w:val="00C72EA8"/>
    <w:rsid w:val="00CA3FAC"/>
    <w:rsid w:val="00CA7406"/>
    <w:rsid w:val="00CC1C09"/>
    <w:rsid w:val="00CF43D7"/>
    <w:rsid w:val="00CF6D8A"/>
    <w:rsid w:val="00D0273C"/>
    <w:rsid w:val="00D036BE"/>
    <w:rsid w:val="00D04E46"/>
    <w:rsid w:val="00D0679E"/>
    <w:rsid w:val="00D15FA3"/>
    <w:rsid w:val="00D26316"/>
    <w:rsid w:val="00D31B2D"/>
    <w:rsid w:val="00D326B1"/>
    <w:rsid w:val="00D403F1"/>
    <w:rsid w:val="00D41B55"/>
    <w:rsid w:val="00D4204F"/>
    <w:rsid w:val="00D52D05"/>
    <w:rsid w:val="00D60B74"/>
    <w:rsid w:val="00D619A2"/>
    <w:rsid w:val="00D6431D"/>
    <w:rsid w:val="00D677C9"/>
    <w:rsid w:val="00D70E34"/>
    <w:rsid w:val="00D73EA1"/>
    <w:rsid w:val="00D87860"/>
    <w:rsid w:val="00DA1432"/>
    <w:rsid w:val="00DA3146"/>
    <w:rsid w:val="00DA5759"/>
    <w:rsid w:val="00DB41E2"/>
    <w:rsid w:val="00DC2C67"/>
    <w:rsid w:val="00DC6541"/>
    <w:rsid w:val="00DE2247"/>
    <w:rsid w:val="00DE22BA"/>
    <w:rsid w:val="00DF1944"/>
    <w:rsid w:val="00DF6DA2"/>
    <w:rsid w:val="00E0617E"/>
    <w:rsid w:val="00E073DC"/>
    <w:rsid w:val="00E1792A"/>
    <w:rsid w:val="00E3530E"/>
    <w:rsid w:val="00E369A4"/>
    <w:rsid w:val="00E42178"/>
    <w:rsid w:val="00E44794"/>
    <w:rsid w:val="00E57390"/>
    <w:rsid w:val="00E6072A"/>
    <w:rsid w:val="00E80639"/>
    <w:rsid w:val="00E80C7E"/>
    <w:rsid w:val="00E830F4"/>
    <w:rsid w:val="00E972A0"/>
    <w:rsid w:val="00E9747F"/>
    <w:rsid w:val="00E976C3"/>
    <w:rsid w:val="00EA7F82"/>
    <w:rsid w:val="00EC0F21"/>
    <w:rsid w:val="00ED73F7"/>
    <w:rsid w:val="00EF30E1"/>
    <w:rsid w:val="00EF6627"/>
    <w:rsid w:val="00F027F2"/>
    <w:rsid w:val="00F070F3"/>
    <w:rsid w:val="00F14218"/>
    <w:rsid w:val="00F16121"/>
    <w:rsid w:val="00F17737"/>
    <w:rsid w:val="00F208F4"/>
    <w:rsid w:val="00F25679"/>
    <w:rsid w:val="00F40825"/>
    <w:rsid w:val="00F44927"/>
    <w:rsid w:val="00F65A98"/>
    <w:rsid w:val="00F73729"/>
    <w:rsid w:val="00F869A2"/>
    <w:rsid w:val="00FA0224"/>
    <w:rsid w:val="00FA4EF9"/>
    <w:rsid w:val="00FB0261"/>
    <w:rsid w:val="00FB3485"/>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0578">
      <w:bodyDiv w:val="1"/>
      <w:marLeft w:val="0"/>
      <w:marRight w:val="0"/>
      <w:marTop w:val="0"/>
      <w:marBottom w:val="0"/>
      <w:divBdr>
        <w:top w:val="none" w:sz="0" w:space="0" w:color="auto"/>
        <w:left w:val="none" w:sz="0" w:space="0" w:color="auto"/>
        <w:bottom w:val="none" w:sz="0" w:space="0" w:color="auto"/>
        <w:right w:val="none" w:sz="0" w:space="0" w:color="auto"/>
      </w:divBdr>
    </w:div>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604920274">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767269984">
      <w:bodyDiv w:val="1"/>
      <w:marLeft w:val="0"/>
      <w:marRight w:val="0"/>
      <w:marTop w:val="0"/>
      <w:marBottom w:val="0"/>
      <w:divBdr>
        <w:top w:val="none" w:sz="0" w:space="0" w:color="auto"/>
        <w:left w:val="none" w:sz="0" w:space="0" w:color="auto"/>
        <w:bottom w:val="none" w:sz="0" w:space="0" w:color="auto"/>
        <w:right w:val="none" w:sz="0" w:space="0" w:color="auto"/>
      </w:divBdr>
    </w:div>
    <w:div w:id="1851140822">
      <w:bodyDiv w:val="1"/>
      <w:marLeft w:val="0"/>
      <w:marRight w:val="0"/>
      <w:marTop w:val="0"/>
      <w:marBottom w:val="0"/>
      <w:divBdr>
        <w:top w:val="none" w:sz="0" w:space="0" w:color="auto"/>
        <w:left w:val="none" w:sz="0" w:space="0" w:color="auto"/>
        <w:bottom w:val="none" w:sz="0" w:space="0" w:color="auto"/>
        <w:right w:val="none" w:sz="0" w:space="0" w:color="auto"/>
      </w:divBdr>
    </w:div>
    <w:div w:id="1858697091">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 w:id="2119639307">
      <w:bodyDiv w:val="1"/>
      <w:marLeft w:val="0"/>
      <w:marRight w:val="0"/>
      <w:marTop w:val="0"/>
      <w:marBottom w:val="0"/>
      <w:divBdr>
        <w:top w:val="none" w:sz="0" w:space="0" w:color="auto"/>
        <w:left w:val="none" w:sz="0" w:space="0" w:color="auto"/>
        <w:bottom w:val="none" w:sz="0" w:space="0" w:color="auto"/>
        <w:right w:val="none" w:sz="0" w:space="0" w:color="auto"/>
      </w:divBdr>
    </w:div>
    <w:div w:id="2128356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A258-6F74-4BEC-9937-62CF481A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1491</Words>
  <Characters>8501</Characters>
  <Application>Microsoft Office Word</Application>
  <DocSecurity>2</DocSecurity>
  <Lines>70</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KEMRI/WHO</vt:lpstr>
      <vt:lpstr/>
      <vt:lpstr>PURPOSE</vt:lpstr>
      <vt:lpstr>SCOPE</vt:lpstr>
      <vt:lpstr>PERSONS RESPONSIBLE: </vt:lpstr>
      <vt:lpstr>FREQUENCY</vt:lpstr>
      <vt:lpstr>MATERIALS</vt:lpstr>
      <vt:lpstr>PROCEDURE</vt:lpstr>
      <vt:lpstr>REFERENCES</vt:lpstr>
    </vt:vector>
  </TitlesOfParts>
  <Company>Deftones</Company>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5</cp:revision>
  <cp:lastPrinted>2025-10-07T11:27:00Z</cp:lastPrinted>
  <dcterms:created xsi:type="dcterms:W3CDTF">2025-10-07T10:02:00Z</dcterms:created>
  <dcterms:modified xsi:type="dcterms:W3CDTF">2025-10-07T11:54:00Z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