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6A59389" w:rsidR="008B5059" w:rsidRPr="00E1792A" w:rsidRDefault="000A0A23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0A0A23">
        <w:rPr>
          <w:b/>
          <w:color w:val="auto"/>
          <w:sz w:val="36"/>
          <w:szCs w:val="24"/>
        </w:rPr>
        <w:t>Evaluating disease control programs (epidemiological and cost-effectiveness f</w:t>
      </w:r>
      <w:r w:rsidR="00453C41" w:rsidRPr="000A0A23">
        <w:rPr>
          <w:b/>
          <w:color w:val="auto"/>
          <w:sz w:val="36"/>
          <w:szCs w:val="24"/>
        </w:rPr>
        <w:t>rameworks)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C46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4315F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48C3D5CE" w14:textId="77777777" w:rsidR="001E1FAF" w:rsidRDefault="001E1FAF" w:rsidP="001E1FAF">
      <w:pPr>
        <w:rPr>
          <w:color w:val="auto"/>
        </w:rPr>
      </w:pPr>
      <w:bookmarkStart w:id="5" w:name="_Toc144316959"/>
      <w:r>
        <w:t xml:space="preserve">To provide a standardized framework for the </w:t>
      </w:r>
      <w:r>
        <w:rPr>
          <w:rStyle w:val="Strong"/>
        </w:rPr>
        <w:t>evaluation of disease control programs</w:t>
      </w:r>
      <w:r>
        <w:t>, integrating:</w:t>
      </w:r>
    </w:p>
    <w:p w14:paraId="1BEE2EBB" w14:textId="77777777" w:rsidR="001E1FAF" w:rsidRDefault="001E1FAF" w:rsidP="001E1FAF">
      <w:pPr>
        <w:pStyle w:val="ListParagraph"/>
        <w:numPr>
          <w:ilvl w:val="0"/>
          <w:numId w:val="21"/>
        </w:numPr>
      </w:pPr>
      <w:r>
        <w:rPr>
          <w:rStyle w:val="Strong"/>
        </w:rPr>
        <w:t>Epidemiological analyses</w:t>
      </w:r>
      <w:r>
        <w:t xml:space="preserve"> to assess program </w:t>
      </w:r>
      <w:proofErr w:type="gramStart"/>
      <w:r>
        <w:t>impact on</w:t>
      </w:r>
      <w:proofErr w:type="gramEnd"/>
      <w:r>
        <w:t xml:space="preserve"> disease incidence, prevalence, and transmission dynamics.</w:t>
      </w:r>
    </w:p>
    <w:p w14:paraId="1B838F2E" w14:textId="77777777" w:rsidR="001E1FAF" w:rsidRDefault="001E1FAF" w:rsidP="001E1FAF">
      <w:pPr>
        <w:pStyle w:val="ListParagraph"/>
        <w:numPr>
          <w:ilvl w:val="0"/>
          <w:numId w:val="21"/>
        </w:numPr>
      </w:pPr>
      <w:r>
        <w:rPr>
          <w:rStyle w:val="Strong"/>
        </w:rPr>
        <w:t>Cost-effectiveness assessments</w:t>
      </w:r>
      <w:r>
        <w:t xml:space="preserve"> to quantify the economic efficiency of interventions.</w:t>
      </w:r>
    </w:p>
    <w:p w14:paraId="2118A9FC" w14:textId="77777777" w:rsidR="001E1FAF" w:rsidRDefault="001E1FAF" w:rsidP="001E1FAF">
      <w:pPr>
        <w:pStyle w:val="ListParagraph"/>
        <w:numPr>
          <w:ilvl w:val="0"/>
          <w:numId w:val="21"/>
        </w:numPr>
      </w:pPr>
      <w:r>
        <w:rPr>
          <w:rStyle w:val="Strong"/>
        </w:rPr>
        <w:t>Evidence-based decision-making</w:t>
      </w:r>
      <w:r>
        <w:t xml:space="preserve"> for program optimization, policy guidance, and resource allocation.</w:t>
      </w:r>
    </w:p>
    <w:p w14:paraId="4A3DECF5" w14:textId="05BBF27D" w:rsidR="001E1FAF" w:rsidRDefault="001E1FAF" w:rsidP="001E1FAF">
      <w:pPr>
        <w:pStyle w:val="ListParagraph"/>
        <w:numPr>
          <w:ilvl w:val="0"/>
          <w:numId w:val="21"/>
        </w:numPr>
      </w:pPr>
      <w:r>
        <w:t xml:space="preserve">Alignment with </w:t>
      </w:r>
      <w:r>
        <w:rPr>
          <w:rStyle w:val="Strong"/>
        </w:rPr>
        <w:t>institutional SOPs 1–10</w:t>
      </w:r>
      <w:r>
        <w:t>, ethical standards, and national/international guidelines (e.g., WHO, GBD, CHEERS</w:t>
      </w:r>
      <w:r w:rsidR="008C24B0">
        <w:t xml:space="preserve"> 2022</w:t>
      </w:r>
      <w:r>
        <w:t>).</w:t>
      </w:r>
    </w:p>
    <w:p w14:paraId="76DFE932" w14:textId="77777777" w:rsidR="00D0679E" w:rsidRPr="00E1792A" w:rsidRDefault="00A430C0" w:rsidP="00D0679E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51ED3B82" w14:textId="77777777" w:rsidR="008C24B0" w:rsidRDefault="002435E5" w:rsidP="008C24B0">
      <w:pPr>
        <w:rPr>
          <w:color w:val="auto"/>
        </w:rPr>
      </w:pPr>
      <w:r>
        <w:t xml:space="preserve"> </w:t>
      </w:r>
      <w:bookmarkStart w:id="8" w:name="_Toc144203932"/>
      <w:bookmarkStart w:id="9" w:name="_Toc144316960"/>
      <w:bookmarkEnd w:id="7"/>
      <w:r w:rsidR="008C24B0">
        <w:t>Applies to all disease control programs supported by DS&amp;AS, including biomedical, ecological, and primatological health interventions. Covers:</w:t>
      </w:r>
    </w:p>
    <w:p w14:paraId="1510CC29" w14:textId="77777777" w:rsidR="008C24B0" w:rsidRDefault="008C24B0" w:rsidP="008C24B0">
      <w:pPr>
        <w:pStyle w:val="ListParagraph"/>
        <w:numPr>
          <w:ilvl w:val="0"/>
          <w:numId w:val="23"/>
        </w:numPr>
      </w:pPr>
      <w:r>
        <w:t>Epidemiological modelling and surveillance data analysis.</w:t>
      </w:r>
    </w:p>
    <w:p w14:paraId="407503E1" w14:textId="77777777" w:rsidR="008C24B0" w:rsidRDefault="008C24B0" w:rsidP="008C24B0">
      <w:pPr>
        <w:pStyle w:val="ListParagraph"/>
        <w:numPr>
          <w:ilvl w:val="0"/>
          <w:numId w:val="23"/>
        </w:numPr>
      </w:pPr>
      <w:r>
        <w:t>Economic evaluation, including cost-effectiveness, cost-utility, and cost-benefit analyses.</w:t>
      </w:r>
    </w:p>
    <w:p w14:paraId="6422B769" w14:textId="77777777" w:rsidR="008C24B0" w:rsidRDefault="008C24B0" w:rsidP="008C24B0">
      <w:pPr>
        <w:pStyle w:val="ListParagraph"/>
        <w:numPr>
          <w:ilvl w:val="0"/>
          <w:numId w:val="23"/>
        </w:numPr>
      </w:pPr>
      <w:r>
        <w:t>Integration of outputs into program decision-making, reporting, and publications.</w:t>
      </w:r>
    </w:p>
    <w:p w14:paraId="2A50F2FB" w14:textId="772D737B" w:rsidR="00A430C0" w:rsidRPr="00E1792A" w:rsidRDefault="00A430C0" w:rsidP="008C24B0">
      <w:pPr>
        <w:pStyle w:val="Heading1"/>
      </w:pPr>
      <w:r w:rsidRPr="00E1792A">
        <w:t>PERSONS RESPONSIBLE</w:t>
      </w:r>
      <w:bookmarkEnd w:id="8"/>
      <w:bookmarkEnd w:id="9"/>
    </w:p>
    <w:p w14:paraId="3344CCA9" w14:textId="77777777" w:rsidR="008C24B0" w:rsidRPr="008C24B0" w:rsidRDefault="008C24B0" w:rsidP="008C24B0">
      <w:pPr>
        <w:pStyle w:val="ListParagraph"/>
        <w:numPr>
          <w:ilvl w:val="0"/>
          <w:numId w:val="25"/>
        </w:numPr>
        <w:rPr>
          <w:color w:val="auto"/>
        </w:rPr>
      </w:pPr>
      <w:bookmarkStart w:id="10" w:name="_Toc144203933"/>
      <w:bookmarkStart w:id="11" w:name="_Toc144316961"/>
      <w:r>
        <w:rPr>
          <w:rStyle w:val="Strong"/>
        </w:rPr>
        <w:t>Principal Investigator (PI):</w:t>
      </w:r>
      <w:r>
        <w:t xml:space="preserve"> Provides program objectives, epidemiological data, and context.</w:t>
      </w:r>
    </w:p>
    <w:p w14:paraId="716C3B72" w14:textId="77777777" w:rsidR="008C24B0" w:rsidRDefault="008C24B0" w:rsidP="008C24B0">
      <w:pPr>
        <w:pStyle w:val="ListParagraph"/>
        <w:numPr>
          <w:ilvl w:val="0"/>
          <w:numId w:val="25"/>
        </w:numPr>
      </w:pPr>
      <w:r>
        <w:rPr>
          <w:rStyle w:val="Strong"/>
        </w:rPr>
        <w:t>DS&amp;AS Epidemiologist / Biostatistician:</w:t>
      </w:r>
      <w:r>
        <w:t xml:space="preserve"> Conducts epidemiological analyses and cost-effectiveness modelling.</w:t>
      </w:r>
    </w:p>
    <w:p w14:paraId="60316C43" w14:textId="77777777" w:rsidR="008C24B0" w:rsidRDefault="008C24B0" w:rsidP="008C24B0">
      <w:pPr>
        <w:pStyle w:val="ListParagraph"/>
        <w:numPr>
          <w:ilvl w:val="0"/>
          <w:numId w:val="25"/>
        </w:numPr>
      </w:pPr>
      <w:r>
        <w:rPr>
          <w:rStyle w:val="Strong"/>
        </w:rPr>
        <w:t>Health Economist (if available):</w:t>
      </w:r>
      <w:r>
        <w:t xml:space="preserve"> Supports economic evaluation and interpretation.</w:t>
      </w:r>
    </w:p>
    <w:p w14:paraId="63133D40" w14:textId="77777777" w:rsidR="008C24B0" w:rsidRDefault="008C24B0" w:rsidP="008C24B0">
      <w:pPr>
        <w:pStyle w:val="ListParagraph"/>
        <w:numPr>
          <w:ilvl w:val="0"/>
          <w:numId w:val="25"/>
        </w:numPr>
      </w:pPr>
      <w:r>
        <w:rPr>
          <w:rStyle w:val="Strong"/>
        </w:rPr>
        <w:t>Head of DS&amp;AS:</w:t>
      </w:r>
      <w:r>
        <w:t xml:space="preserve"> Reviews methodology, approves final evaluation, ensures alignment with institutional policies.</w:t>
      </w:r>
    </w:p>
    <w:p w14:paraId="7421A434" w14:textId="77777777" w:rsidR="008C24B0" w:rsidRDefault="008C24B0" w:rsidP="008C24B0">
      <w:pPr>
        <w:pStyle w:val="ListParagraph"/>
        <w:numPr>
          <w:ilvl w:val="0"/>
          <w:numId w:val="25"/>
        </w:numPr>
      </w:pPr>
      <w:r>
        <w:rPr>
          <w:rStyle w:val="Strong"/>
        </w:rPr>
        <w:t>Director of Research &amp; Product Development:</w:t>
      </w:r>
      <w:r>
        <w:t xml:space="preserve"> Reviews institutional-level reports and recommendations.</w:t>
      </w:r>
    </w:p>
    <w:p w14:paraId="7BAC35F7" w14:textId="77777777" w:rsidR="00A430C0" w:rsidRPr="00E1792A" w:rsidRDefault="00A430C0" w:rsidP="00D0679E">
      <w:pPr>
        <w:pStyle w:val="Heading1"/>
      </w:pPr>
      <w:r w:rsidRPr="00E1792A">
        <w:t>FREQUENCY</w:t>
      </w:r>
      <w:bookmarkEnd w:id="10"/>
      <w:bookmarkEnd w:id="11"/>
    </w:p>
    <w:p w14:paraId="068B8C64" w14:textId="3751B263" w:rsidR="008C24B0" w:rsidRPr="008C24B0" w:rsidRDefault="008C24B0" w:rsidP="008C24B0">
      <w:pPr>
        <w:pStyle w:val="ListParagraph"/>
        <w:numPr>
          <w:ilvl w:val="0"/>
          <w:numId w:val="29"/>
        </w:numPr>
      </w:pPr>
      <w:bookmarkStart w:id="12" w:name="_Toc144316962"/>
      <w:r w:rsidRPr="008C24B0">
        <w:rPr>
          <w:b/>
          <w:bCs/>
        </w:rPr>
        <w:t>Baseline Evaluation:</w:t>
      </w:r>
      <w:r w:rsidRPr="008C24B0">
        <w:t xml:space="preserve"> Prior to program implementation.</w:t>
      </w:r>
    </w:p>
    <w:p w14:paraId="3295947F" w14:textId="7A08AA04" w:rsidR="008C24B0" w:rsidRPr="008C24B0" w:rsidRDefault="008C24B0" w:rsidP="008C24B0">
      <w:pPr>
        <w:pStyle w:val="ListParagraph"/>
        <w:numPr>
          <w:ilvl w:val="0"/>
          <w:numId w:val="29"/>
        </w:numPr>
        <w:rPr>
          <w:color w:val="auto"/>
          <w:szCs w:val="24"/>
        </w:rPr>
      </w:pPr>
      <w:r w:rsidRPr="008C24B0">
        <w:rPr>
          <w:b/>
          <w:bCs/>
          <w:color w:val="auto"/>
          <w:szCs w:val="24"/>
        </w:rPr>
        <w:t>Mid-Program Evaluation:</w:t>
      </w:r>
      <w:r w:rsidRPr="008C24B0">
        <w:rPr>
          <w:color w:val="auto"/>
          <w:szCs w:val="24"/>
        </w:rPr>
        <w:t xml:space="preserve"> Periodic assessment (annually or as specified in program plan).</w:t>
      </w:r>
    </w:p>
    <w:p w14:paraId="2F6EA082" w14:textId="7539BDED" w:rsidR="008C24B0" w:rsidRPr="008C24B0" w:rsidRDefault="008C24B0" w:rsidP="008C24B0">
      <w:pPr>
        <w:pStyle w:val="ListParagraph"/>
        <w:numPr>
          <w:ilvl w:val="0"/>
          <w:numId w:val="29"/>
        </w:numPr>
        <w:rPr>
          <w:color w:val="auto"/>
          <w:szCs w:val="24"/>
        </w:rPr>
      </w:pPr>
      <w:r w:rsidRPr="008C24B0">
        <w:rPr>
          <w:b/>
          <w:bCs/>
          <w:color w:val="auto"/>
          <w:szCs w:val="24"/>
        </w:rPr>
        <w:t>End-of-Program Evaluation:</w:t>
      </w:r>
      <w:r w:rsidRPr="008C24B0">
        <w:rPr>
          <w:color w:val="auto"/>
          <w:szCs w:val="24"/>
        </w:rPr>
        <w:t xml:space="preserve"> Comprehensive analysis at completion.</w:t>
      </w:r>
    </w:p>
    <w:p w14:paraId="421062EF" w14:textId="3D419494" w:rsidR="008C24B0" w:rsidRPr="008C24B0" w:rsidRDefault="008C24B0" w:rsidP="008C24B0">
      <w:pPr>
        <w:pStyle w:val="ListParagraph"/>
        <w:numPr>
          <w:ilvl w:val="0"/>
          <w:numId w:val="29"/>
        </w:numPr>
        <w:rPr>
          <w:color w:val="auto"/>
          <w:szCs w:val="24"/>
        </w:rPr>
      </w:pPr>
      <w:r w:rsidRPr="008C24B0">
        <w:rPr>
          <w:b/>
          <w:bCs/>
          <w:color w:val="auto"/>
          <w:szCs w:val="24"/>
        </w:rPr>
        <w:t>Triggered Evaluation:</w:t>
      </w:r>
      <w:r w:rsidRPr="008C24B0">
        <w:rPr>
          <w:color w:val="auto"/>
          <w:szCs w:val="24"/>
        </w:rPr>
        <w:t xml:space="preserve"> When significant program changes, outbreaks, or funding reviews occur.</w:t>
      </w:r>
    </w:p>
    <w:p w14:paraId="147A56C9" w14:textId="5EFC11B3" w:rsidR="00EF6627" w:rsidRDefault="00EF6627" w:rsidP="008C24B0">
      <w:pPr>
        <w:pStyle w:val="Heading1"/>
      </w:pPr>
      <w:r>
        <w:t>MATERIALS</w:t>
      </w:r>
      <w:bookmarkEnd w:id="12"/>
    </w:p>
    <w:p w14:paraId="29A0F1ED" w14:textId="5102B299" w:rsidR="008C24B0" w:rsidRPr="008C24B0" w:rsidRDefault="008C24B0" w:rsidP="008C24B0">
      <w:pPr>
        <w:pStyle w:val="ListParagraph"/>
        <w:numPr>
          <w:ilvl w:val="0"/>
          <w:numId w:val="29"/>
        </w:numPr>
      </w:pPr>
      <w:bookmarkStart w:id="13" w:name="_Toc144203934"/>
      <w:bookmarkStart w:id="14" w:name="_Toc144316963"/>
      <w:r w:rsidRPr="008C24B0">
        <w:rPr>
          <w:b/>
          <w:bCs/>
        </w:rPr>
        <w:t>Epidemiological Models:</w:t>
      </w:r>
      <w:r w:rsidRPr="008C24B0">
        <w:t xml:space="preserve"> Tools for survival analysis, transmission dynamics, regression, and disease progression modelling.</w:t>
      </w:r>
    </w:p>
    <w:p w14:paraId="1E6DE565" w14:textId="16E8B04B" w:rsidR="008C24B0" w:rsidRPr="008C24B0" w:rsidRDefault="008C24B0" w:rsidP="008C24B0">
      <w:pPr>
        <w:pStyle w:val="ListParagraph"/>
        <w:numPr>
          <w:ilvl w:val="0"/>
          <w:numId w:val="29"/>
        </w:numPr>
      </w:pPr>
      <w:r w:rsidRPr="008C24B0">
        <w:rPr>
          <w:b/>
          <w:bCs/>
        </w:rPr>
        <w:t>Cost-Effectiveness Analysis (CEA) Templates:</w:t>
      </w:r>
      <w:r w:rsidRPr="008C24B0">
        <w:t xml:space="preserve"> Standardized forms for calculating incremental costs, outcomes, and ICERs.</w:t>
      </w:r>
    </w:p>
    <w:p w14:paraId="7906146D" w14:textId="0599E15A" w:rsidR="008C24B0" w:rsidRPr="008C24B0" w:rsidRDefault="008C24B0" w:rsidP="008C24B0">
      <w:pPr>
        <w:pStyle w:val="ListParagraph"/>
        <w:numPr>
          <w:ilvl w:val="0"/>
          <w:numId w:val="29"/>
        </w:numPr>
      </w:pPr>
      <w:r w:rsidRPr="008C24B0">
        <w:rPr>
          <w:b/>
          <w:bCs/>
        </w:rPr>
        <w:t>Health Outcome Measures:</w:t>
      </w:r>
      <w:r w:rsidRPr="008C24B0">
        <w:t xml:space="preserve"> DALYs (Disability-Adjusted Life Years), QALYs (Quality-Adjusted Life Years), incidence and prevalence reduction metrics.</w:t>
      </w:r>
    </w:p>
    <w:p w14:paraId="794A9766" w14:textId="772981CC" w:rsidR="008C24B0" w:rsidRPr="008C24B0" w:rsidRDefault="008C24B0" w:rsidP="008C24B0">
      <w:pPr>
        <w:pStyle w:val="ListParagraph"/>
        <w:numPr>
          <w:ilvl w:val="0"/>
          <w:numId w:val="29"/>
        </w:numPr>
      </w:pPr>
      <w:r w:rsidRPr="008C24B0">
        <w:rPr>
          <w:b/>
          <w:bCs/>
        </w:rPr>
        <w:t>Guidelines:</w:t>
      </w:r>
      <w:r w:rsidRPr="008C24B0">
        <w:t xml:space="preserve"> National </w:t>
      </w:r>
      <w:proofErr w:type="gramStart"/>
      <w:r w:rsidRPr="008C24B0">
        <w:t>health program evaluation frameworks</w:t>
      </w:r>
      <w:proofErr w:type="gramEnd"/>
      <w:r w:rsidRPr="008C24B0">
        <w:t>, institutional protocols, and international standards (WHO, GBD, CHEERS).</w:t>
      </w:r>
    </w:p>
    <w:p w14:paraId="3D9F235C" w14:textId="248382A7" w:rsidR="008C24B0" w:rsidRPr="008C24B0" w:rsidRDefault="008C24B0" w:rsidP="008C24B0">
      <w:pPr>
        <w:pStyle w:val="ListParagraph"/>
        <w:numPr>
          <w:ilvl w:val="0"/>
          <w:numId w:val="29"/>
        </w:numPr>
      </w:pPr>
      <w:r w:rsidRPr="008C24B0">
        <w:rPr>
          <w:b/>
          <w:bCs/>
        </w:rPr>
        <w:t>Software and Tools:</w:t>
      </w:r>
      <w:r w:rsidRPr="008C24B0">
        <w:t xml:space="preserve"> R, SAS, Python, Excel, and other modelling platforms for epidemiological and economic analyses.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015AC594" w14:textId="6B94F51B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Planning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Define clear evaluation objectives, target population, interventions, comparators, and relevant outcomes.</w:t>
      </w:r>
      <w:r w:rsidRPr="008C24B0">
        <w:br/>
      </w:r>
      <w:r w:rsidRPr="008C24B0">
        <w:t> </w:t>
      </w:r>
      <w:r w:rsidRPr="008C24B0">
        <w:t xml:space="preserve">• Ensure alignment with SOPs 1–5 (Policies, Study Design, SAPs, Reporting, </w:t>
      </w:r>
      <w:proofErr w:type="gramStart"/>
      <w:r w:rsidRPr="008C24B0">
        <w:t>Data</w:t>
      </w:r>
      <w:proofErr w:type="gramEnd"/>
      <w:r w:rsidRPr="008C24B0">
        <w:t xml:space="preserve"> Management).</w:t>
      </w:r>
    </w:p>
    <w:p w14:paraId="125A7611" w14:textId="7477A09C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Data Collection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Gather epidemiological surveillance data, program activity data, and cost/expenditure data.</w:t>
      </w:r>
      <w:r w:rsidRPr="008C24B0">
        <w:br/>
      </w:r>
      <w:r w:rsidRPr="008C24B0">
        <w:t> </w:t>
      </w:r>
      <w:r w:rsidRPr="008C24B0">
        <w:t xml:space="preserve">• Verify data quality, completeness, and compliance with SOPs 6–9 (Data Access, Storage, Workflow, </w:t>
      </w:r>
      <w:proofErr w:type="gramStart"/>
      <w:r w:rsidRPr="008C24B0">
        <w:t>Sharing</w:t>
      </w:r>
      <w:proofErr w:type="gramEnd"/>
      <w:r w:rsidRPr="008C24B0">
        <w:t>).</w:t>
      </w:r>
    </w:p>
    <w:p w14:paraId="33701F9A" w14:textId="7279C95D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Epidemiological Analysis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Apply appropriate statistical and modelling methods (e.g., regression, survival analysis, transmission models) to assess program impact on disease incidence, prevalence, or survival outcomes.</w:t>
      </w:r>
      <w:r w:rsidRPr="008C24B0">
        <w:br/>
      </w:r>
      <w:r w:rsidRPr="008C24B0">
        <w:t> </w:t>
      </w:r>
      <w:r w:rsidRPr="008C24B0">
        <w:t>• Conduct sensitivity analyses where applicable.</w:t>
      </w:r>
    </w:p>
    <w:p w14:paraId="6F79297A" w14:textId="44048F98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Cost-Effectiveness Analysis (CEA):</w:t>
      </w:r>
      <w:r w:rsidRPr="008C24B0">
        <w:br/>
      </w:r>
      <w:r w:rsidRPr="008C24B0">
        <w:t> </w:t>
      </w:r>
      <w:r w:rsidRPr="008C24B0">
        <w:t>• Compute incremental costs and health outcomes to derive ICERs (e.g., cost per DALY or QALY averted).</w:t>
      </w:r>
      <w:r w:rsidRPr="008C24B0">
        <w:br/>
      </w:r>
      <w:r w:rsidRPr="008C24B0">
        <w:t> </w:t>
      </w:r>
      <w:r w:rsidRPr="008C24B0">
        <w:t>• Perform sensitivity and scenario analyses to test robustness of findings.</w:t>
      </w:r>
    </w:p>
    <w:p w14:paraId="16391D4E" w14:textId="2DDC59EB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Validation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Internal peer review within DS&amp;AS to ensure methodological soundness, reproducibility, and compliance with SOPs and regulatory guidelines.</w:t>
      </w:r>
    </w:p>
    <w:p w14:paraId="2825EB77" w14:textId="598D7ACE" w:rsidR="008C24B0" w:rsidRPr="008C24B0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Reporting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Prepare evaluation reports, dashboards, and policy briefs summarizing epidemiological and economic findings.</w:t>
      </w:r>
      <w:r w:rsidRPr="008C24B0">
        <w:br/>
      </w:r>
      <w:r w:rsidRPr="008C24B0">
        <w:t> </w:t>
      </w:r>
      <w:r w:rsidRPr="008C24B0">
        <w:t>• Highlight recommendations for program optimization and policy decision-making.</w:t>
      </w:r>
    </w:p>
    <w:p w14:paraId="2D343F9E" w14:textId="789318D8" w:rsidR="002435E5" w:rsidRPr="002435E5" w:rsidRDefault="008C24B0" w:rsidP="008C24B0">
      <w:pPr>
        <w:pStyle w:val="ListParagraph"/>
        <w:numPr>
          <w:ilvl w:val="0"/>
          <w:numId w:val="31"/>
        </w:numPr>
      </w:pPr>
      <w:r w:rsidRPr="008C24B0">
        <w:rPr>
          <w:b/>
          <w:bCs/>
        </w:rPr>
        <w:t>Dissemination</w:t>
      </w:r>
      <w:proofErr w:type="gramStart"/>
      <w:r w:rsidRPr="008C24B0">
        <w:rPr>
          <w:b/>
          <w:bCs/>
        </w:rPr>
        <w:t>:</w:t>
      </w:r>
      <w:proofErr w:type="gramEnd"/>
      <w:r w:rsidRPr="008C24B0">
        <w:br/>
      </w:r>
      <w:r w:rsidRPr="008C24B0">
        <w:t> </w:t>
      </w:r>
      <w:r w:rsidRPr="008C24B0">
        <w:t>• Share outputs with institutional leadership, program stakeholders, policymakers, and, where appropriate, the public or scientific community.</w:t>
      </w:r>
      <w:r w:rsidRPr="008C24B0">
        <w:br/>
      </w:r>
      <w:r w:rsidRPr="008C24B0">
        <w:t> </w:t>
      </w:r>
      <w:r w:rsidRPr="008C24B0">
        <w:t>• Archive final reports, datasets, and analysis scripts in DS&amp;AS repositories for reproducibility and future reference.</w:t>
      </w:r>
      <w:bookmarkStart w:id="15" w:name="_GoBack"/>
      <w:bookmarkEnd w:id="15"/>
    </w:p>
    <w:p w14:paraId="5CB04A4B" w14:textId="11FE697B" w:rsidR="004378C3" w:rsidRPr="008C24B0" w:rsidRDefault="007F2FA3" w:rsidP="008C24B0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bookmarkEnd w:id="3"/>
    <w:p w14:paraId="7702F41A" w14:textId="77777777" w:rsidR="008C24B0" w:rsidRPr="008C24B0" w:rsidRDefault="008C24B0" w:rsidP="008C24B0">
      <w:pPr>
        <w:pStyle w:val="ListParagraph"/>
        <w:numPr>
          <w:ilvl w:val="0"/>
          <w:numId w:val="37"/>
        </w:numPr>
        <w:rPr>
          <w:color w:val="auto"/>
        </w:rPr>
      </w:pPr>
      <w:r>
        <w:t>DS&amp;AS SOP 1 – Policies and Strategies.</w:t>
      </w:r>
    </w:p>
    <w:p w14:paraId="475B6FDF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DS&amp;AS SOP 3 – Study Design and Statistical Consultation.</w:t>
      </w:r>
    </w:p>
    <w:p w14:paraId="19DFA38B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DS&amp;AS SOP 4 – Statistical Analysis Plans (SAPs).</w:t>
      </w:r>
    </w:p>
    <w:p w14:paraId="3391C3B2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 xml:space="preserve">DS&amp;AS SOP </w:t>
      </w:r>
      <w:proofErr w:type="gramStart"/>
      <w:r>
        <w:t>5</w:t>
      </w:r>
      <w:proofErr w:type="gramEnd"/>
      <w:r>
        <w:t xml:space="preserve"> – Reporting Research Results.</w:t>
      </w:r>
    </w:p>
    <w:p w14:paraId="7A0D3FFA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DS&amp;AS SOP 9 – Data Sharing, Anonymisation, and Compliance.</w:t>
      </w:r>
    </w:p>
    <w:p w14:paraId="695C627D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Kenya Data Protection Act (2019).</w:t>
      </w:r>
    </w:p>
    <w:p w14:paraId="183B3B3E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 xml:space="preserve">WHO. </w:t>
      </w:r>
      <w:r>
        <w:rPr>
          <w:rStyle w:val="Strong"/>
        </w:rPr>
        <w:t>Guide to Program Evaluation for Disease Control</w:t>
      </w:r>
      <w:r>
        <w:t>. Geneva: WHO; 2017.</w:t>
      </w:r>
    </w:p>
    <w:p w14:paraId="335C673B" w14:textId="0E7CDC68" w:rsidR="008C24B0" w:rsidRDefault="008C24B0" w:rsidP="008C24B0">
      <w:pPr>
        <w:pStyle w:val="ListParagraph"/>
        <w:numPr>
          <w:ilvl w:val="0"/>
          <w:numId w:val="37"/>
        </w:numPr>
      </w:pPr>
      <w:r>
        <w:t xml:space="preserve">Drummond MF, et al. </w:t>
      </w:r>
      <w:r>
        <w:rPr>
          <w:rStyle w:val="Strong"/>
        </w:rPr>
        <w:t xml:space="preserve">Methods for the Economic Evaluation of Health Care </w:t>
      </w:r>
      <w:r>
        <w:rPr>
          <w:rStyle w:val="Strong"/>
        </w:rPr>
        <w:t>Programs</w:t>
      </w:r>
      <w:r>
        <w:t>, 4th Edition, Oxford University Press; 2015.</w:t>
      </w:r>
    </w:p>
    <w:p w14:paraId="7AF114A0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CHEERS 2022 Guidelines – Consolidated Health Economic Evaluation Reporting Standards.</w:t>
      </w:r>
    </w:p>
    <w:p w14:paraId="0DB1484C" w14:textId="77777777" w:rsidR="008C24B0" w:rsidRDefault="008C24B0" w:rsidP="008C24B0">
      <w:pPr>
        <w:pStyle w:val="ListParagraph"/>
        <w:numPr>
          <w:ilvl w:val="0"/>
          <w:numId w:val="37"/>
        </w:numPr>
      </w:pPr>
      <w:r>
        <w:t>Global Burden of Disease (GBD) Study methodological guidelines.</w:t>
      </w:r>
    </w:p>
    <w:p w14:paraId="652F3CFC" w14:textId="50CEF096" w:rsidR="008C24B0" w:rsidRDefault="008C24B0" w:rsidP="008C24B0"/>
    <w:p w14:paraId="60438449" w14:textId="77777777" w:rsidR="008C24B0" w:rsidRDefault="008C24B0" w:rsidP="008C24B0">
      <w:pPr>
        <w:pStyle w:val="Heading3"/>
      </w:pPr>
      <w:r>
        <w:rPr>
          <w:rStyle w:val="Strong"/>
          <w:b w:val="0"/>
          <w:bCs w:val="0"/>
        </w:rPr>
        <w:t>8. APPENDICES</w:t>
      </w:r>
    </w:p>
    <w:p w14:paraId="1936BE36" w14:textId="77777777" w:rsidR="008C24B0" w:rsidRDefault="008C24B0" w:rsidP="008C24B0">
      <w:pPr>
        <w:pStyle w:val="NormalWeb"/>
      </w:pPr>
      <w:r>
        <w:rPr>
          <w:rStyle w:val="Strong"/>
        </w:rPr>
        <w:t>Appendix 11.1 – Evaluation Templates</w:t>
      </w:r>
    </w:p>
    <w:p w14:paraId="642BE15A" w14:textId="77777777" w:rsidR="008C24B0" w:rsidRDefault="008C24B0" w:rsidP="008C24B0">
      <w:pPr>
        <w:pStyle w:val="ListParagraph"/>
        <w:numPr>
          <w:ilvl w:val="0"/>
          <w:numId w:val="38"/>
        </w:numPr>
      </w:pPr>
      <w:r>
        <w:t>Epidemiological analysis plan template</w:t>
      </w:r>
    </w:p>
    <w:p w14:paraId="02711B55" w14:textId="77777777" w:rsidR="008C24B0" w:rsidRDefault="008C24B0" w:rsidP="008C24B0">
      <w:pPr>
        <w:pStyle w:val="ListParagraph"/>
        <w:numPr>
          <w:ilvl w:val="0"/>
          <w:numId w:val="38"/>
        </w:numPr>
      </w:pPr>
      <w:r>
        <w:t>Cost-effectiveness analysis (CEA) template</w:t>
      </w:r>
    </w:p>
    <w:p w14:paraId="483232FE" w14:textId="77777777" w:rsidR="008C24B0" w:rsidRDefault="008C24B0" w:rsidP="008C24B0">
      <w:pPr>
        <w:pStyle w:val="ListParagraph"/>
        <w:numPr>
          <w:ilvl w:val="0"/>
          <w:numId w:val="38"/>
        </w:numPr>
      </w:pPr>
      <w:r>
        <w:t>Sensitivity analysis template</w:t>
      </w:r>
    </w:p>
    <w:p w14:paraId="48DB0D12" w14:textId="77777777" w:rsidR="008C24B0" w:rsidRDefault="008C24B0" w:rsidP="008C24B0">
      <w:pPr>
        <w:pStyle w:val="ListParagraph"/>
        <w:numPr>
          <w:ilvl w:val="0"/>
          <w:numId w:val="38"/>
        </w:numPr>
      </w:pPr>
      <w:r>
        <w:t>Data validation checklist</w:t>
      </w:r>
    </w:p>
    <w:p w14:paraId="1691515F" w14:textId="77777777" w:rsidR="008C24B0" w:rsidRDefault="008C24B0" w:rsidP="008C24B0">
      <w:pPr>
        <w:pStyle w:val="NormalWeb"/>
      </w:pPr>
      <w:r>
        <w:rPr>
          <w:rStyle w:val="Strong"/>
        </w:rPr>
        <w:t>Appendix 11.2 – Example KPIs and Metrics</w:t>
      </w:r>
    </w:p>
    <w:p w14:paraId="5FEB5737" w14:textId="77777777" w:rsidR="008C24B0" w:rsidRDefault="008C24B0" w:rsidP="008C24B0">
      <w:pPr>
        <w:pStyle w:val="ListParagraph"/>
        <w:numPr>
          <w:ilvl w:val="0"/>
          <w:numId w:val="39"/>
        </w:numPr>
      </w:pPr>
      <w:r>
        <w:t>Reduction in incidence and prevalence rates</w:t>
      </w:r>
    </w:p>
    <w:p w14:paraId="627DD18A" w14:textId="77777777" w:rsidR="008C24B0" w:rsidRDefault="008C24B0" w:rsidP="008C24B0">
      <w:pPr>
        <w:pStyle w:val="ListParagraph"/>
        <w:numPr>
          <w:ilvl w:val="0"/>
          <w:numId w:val="39"/>
        </w:numPr>
      </w:pPr>
      <w:r>
        <w:t>DALYs/QALYs averted</w:t>
      </w:r>
    </w:p>
    <w:p w14:paraId="0FDC7EF1" w14:textId="77777777" w:rsidR="008C24B0" w:rsidRDefault="008C24B0" w:rsidP="008C24B0">
      <w:pPr>
        <w:pStyle w:val="ListParagraph"/>
        <w:numPr>
          <w:ilvl w:val="0"/>
          <w:numId w:val="39"/>
        </w:numPr>
      </w:pPr>
      <w:r>
        <w:t>Incremental cost-effectiveness ratios (ICERs)</w:t>
      </w:r>
    </w:p>
    <w:p w14:paraId="18FE94EE" w14:textId="77777777" w:rsidR="008C24B0" w:rsidRDefault="008C24B0" w:rsidP="008C24B0">
      <w:pPr>
        <w:pStyle w:val="ListParagraph"/>
        <w:numPr>
          <w:ilvl w:val="0"/>
          <w:numId w:val="39"/>
        </w:numPr>
      </w:pPr>
      <w:r>
        <w:t>Program coverage and adherence metrics</w:t>
      </w:r>
    </w:p>
    <w:p w14:paraId="79A43CD5" w14:textId="77777777" w:rsidR="008C24B0" w:rsidRDefault="008C24B0" w:rsidP="008C24B0">
      <w:pPr>
        <w:pStyle w:val="NormalWeb"/>
      </w:pPr>
      <w:r>
        <w:rPr>
          <w:rStyle w:val="Strong"/>
        </w:rPr>
        <w:t>Appendix 11.3 – Data Sources</w:t>
      </w:r>
    </w:p>
    <w:p w14:paraId="2CBEB76F" w14:textId="77777777" w:rsidR="008C24B0" w:rsidRDefault="008C24B0" w:rsidP="008C24B0">
      <w:pPr>
        <w:pStyle w:val="ListParagraph"/>
        <w:numPr>
          <w:ilvl w:val="0"/>
          <w:numId w:val="40"/>
        </w:numPr>
      </w:pPr>
      <w:r>
        <w:t>Routine surveillance datasets</w:t>
      </w:r>
    </w:p>
    <w:p w14:paraId="2B8FE123" w14:textId="77777777" w:rsidR="008C24B0" w:rsidRDefault="008C24B0" w:rsidP="008C24B0">
      <w:pPr>
        <w:pStyle w:val="ListParagraph"/>
        <w:numPr>
          <w:ilvl w:val="0"/>
          <w:numId w:val="40"/>
        </w:numPr>
      </w:pPr>
      <w:r>
        <w:t>Program monitoring data</w:t>
      </w:r>
    </w:p>
    <w:p w14:paraId="49BCBDF4" w14:textId="77777777" w:rsidR="008C24B0" w:rsidRDefault="008C24B0" w:rsidP="008C24B0">
      <w:pPr>
        <w:pStyle w:val="ListParagraph"/>
        <w:numPr>
          <w:ilvl w:val="0"/>
          <w:numId w:val="40"/>
        </w:numPr>
      </w:pPr>
      <w:r>
        <w:t>Cost and expenditure records</w:t>
      </w:r>
    </w:p>
    <w:p w14:paraId="68D002FE" w14:textId="77777777" w:rsidR="008C24B0" w:rsidRDefault="008C24B0" w:rsidP="008C24B0">
      <w:pPr>
        <w:pStyle w:val="NormalWeb"/>
      </w:pPr>
      <w:r>
        <w:rPr>
          <w:rStyle w:val="Strong"/>
        </w:rPr>
        <w:t>Appendix 11.4 – Reporting and Dashboard Formats</w:t>
      </w:r>
    </w:p>
    <w:p w14:paraId="0F0FC3CF" w14:textId="77777777" w:rsidR="008C24B0" w:rsidRDefault="008C24B0" w:rsidP="008C24B0">
      <w:pPr>
        <w:pStyle w:val="ListParagraph"/>
        <w:numPr>
          <w:ilvl w:val="0"/>
          <w:numId w:val="41"/>
        </w:numPr>
      </w:pPr>
      <w:r>
        <w:t>Standard report template for internal and external dissemination</w:t>
      </w:r>
    </w:p>
    <w:p w14:paraId="6AD7A780" w14:textId="77777777" w:rsidR="008C24B0" w:rsidRDefault="008C24B0" w:rsidP="008C24B0">
      <w:pPr>
        <w:pStyle w:val="ListParagraph"/>
        <w:numPr>
          <w:ilvl w:val="0"/>
          <w:numId w:val="41"/>
        </w:numPr>
      </w:pPr>
      <w:r>
        <w:t>Dashboard layout for visualizing epidemiological and economic outcomes</w:t>
      </w: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23150" w14:textId="77777777" w:rsidR="005C46B7" w:rsidRDefault="005C46B7">
      <w:pPr>
        <w:spacing w:after="0" w:line="240" w:lineRule="auto"/>
      </w:pPr>
      <w:r>
        <w:separator/>
      </w:r>
    </w:p>
  </w:endnote>
  <w:endnote w:type="continuationSeparator" w:id="0">
    <w:p w14:paraId="6AC19703" w14:textId="77777777" w:rsidR="005C46B7" w:rsidRDefault="005C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4315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4315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06D40" w14:textId="77777777" w:rsidR="005C46B7" w:rsidRDefault="005C46B7">
      <w:pPr>
        <w:spacing w:after="0" w:line="240" w:lineRule="auto"/>
      </w:pPr>
      <w:r>
        <w:separator/>
      </w:r>
    </w:p>
  </w:footnote>
  <w:footnote w:type="continuationSeparator" w:id="0">
    <w:p w14:paraId="4ABD71DE" w14:textId="77777777" w:rsidR="005C46B7" w:rsidRDefault="005C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57B42"/>
    <w:multiLevelType w:val="multilevel"/>
    <w:tmpl w:val="E74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97E52"/>
    <w:multiLevelType w:val="hybridMultilevel"/>
    <w:tmpl w:val="D5B07C4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BFB101E"/>
    <w:multiLevelType w:val="multilevel"/>
    <w:tmpl w:val="234A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617F"/>
    <w:multiLevelType w:val="hybridMultilevel"/>
    <w:tmpl w:val="3F680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FDC7900"/>
    <w:multiLevelType w:val="multilevel"/>
    <w:tmpl w:val="9280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96735"/>
    <w:multiLevelType w:val="multilevel"/>
    <w:tmpl w:val="669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D46AE"/>
    <w:multiLevelType w:val="multilevel"/>
    <w:tmpl w:val="923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07D4D"/>
    <w:multiLevelType w:val="hybridMultilevel"/>
    <w:tmpl w:val="793457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E4963BF"/>
    <w:multiLevelType w:val="hybridMultilevel"/>
    <w:tmpl w:val="B89601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15E32A9"/>
    <w:multiLevelType w:val="hybridMultilevel"/>
    <w:tmpl w:val="6F7205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825E09"/>
    <w:multiLevelType w:val="hybridMultilevel"/>
    <w:tmpl w:val="AC665DD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90B1D06"/>
    <w:multiLevelType w:val="multilevel"/>
    <w:tmpl w:val="518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954F5"/>
    <w:multiLevelType w:val="multilevel"/>
    <w:tmpl w:val="097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545BC"/>
    <w:multiLevelType w:val="multilevel"/>
    <w:tmpl w:val="F88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F3809"/>
    <w:multiLevelType w:val="hybridMultilevel"/>
    <w:tmpl w:val="BA5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76C79"/>
    <w:multiLevelType w:val="hybridMultilevel"/>
    <w:tmpl w:val="4F2E1C3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A46443"/>
    <w:multiLevelType w:val="hybridMultilevel"/>
    <w:tmpl w:val="5ADAB07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4D282D37"/>
    <w:multiLevelType w:val="multilevel"/>
    <w:tmpl w:val="B95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62D1A"/>
    <w:multiLevelType w:val="multilevel"/>
    <w:tmpl w:val="07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4503BC"/>
    <w:multiLevelType w:val="hybridMultilevel"/>
    <w:tmpl w:val="FD38FA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55921399"/>
    <w:multiLevelType w:val="hybridMultilevel"/>
    <w:tmpl w:val="EDA22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FC2D66"/>
    <w:multiLevelType w:val="multilevel"/>
    <w:tmpl w:val="D67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B5681"/>
    <w:multiLevelType w:val="multilevel"/>
    <w:tmpl w:val="C63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E6FA8"/>
    <w:multiLevelType w:val="multilevel"/>
    <w:tmpl w:val="C4D4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84AEB"/>
    <w:multiLevelType w:val="hybridMultilevel"/>
    <w:tmpl w:val="D8A49F6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91227"/>
    <w:multiLevelType w:val="multilevel"/>
    <w:tmpl w:val="0A2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7B775E9"/>
    <w:multiLevelType w:val="multilevel"/>
    <w:tmpl w:val="5A1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32402F"/>
    <w:multiLevelType w:val="hybridMultilevel"/>
    <w:tmpl w:val="221A88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7BD313CC"/>
    <w:multiLevelType w:val="multilevel"/>
    <w:tmpl w:val="4F6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0972C5"/>
    <w:multiLevelType w:val="hybridMultilevel"/>
    <w:tmpl w:val="6F081A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6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2"/>
    </w:lvlOverride>
  </w:num>
  <w:num w:numId="4">
    <w:abstractNumId w:val="27"/>
  </w:num>
  <w:num w:numId="5">
    <w:abstractNumId w:val="34"/>
  </w:num>
  <w:num w:numId="6">
    <w:abstractNumId w:val="31"/>
  </w:num>
  <w:num w:numId="7">
    <w:abstractNumId w:val="11"/>
    <w:lvlOverride w:ilvl="0">
      <w:startOverride w:val="1"/>
    </w:lvlOverride>
  </w:num>
  <w:num w:numId="8">
    <w:abstractNumId w:val="22"/>
  </w:num>
  <w:num w:numId="9">
    <w:abstractNumId w:val="18"/>
  </w:num>
  <w:num w:numId="10">
    <w:abstractNumId w:val="26"/>
  </w:num>
  <w:num w:numId="11">
    <w:abstractNumId w:val="33"/>
  </w:num>
  <w:num w:numId="12">
    <w:abstractNumId w:val="21"/>
  </w:num>
  <w:num w:numId="13">
    <w:abstractNumId w:val="15"/>
  </w:num>
  <w:num w:numId="14">
    <w:abstractNumId w:val="20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  <w:num w:numId="19">
    <w:abstractNumId w:val="28"/>
  </w:num>
  <w:num w:numId="20">
    <w:abstractNumId w:val="14"/>
  </w:num>
  <w:num w:numId="21">
    <w:abstractNumId w:val="17"/>
  </w:num>
  <w:num w:numId="22">
    <w:abstractNumId w:val="3"/>
  </w:num>
  <w:num w:numId="23">
    <w:abstractNumId w:val="23"/>
  </w:num>
  <w:num w:numId="24">
    <w:abstractNumId w:val="29"/>
  </w:num>
  <w:num w:numId="25">
    <w:abstractNumId w:val="19"/>
  </w:num>
  <w:num w:numId="26">
    <w:abstractNumId w:val="12"/>
  </w:num>
  <w:num w:numId="27">
    <w:abstractNumId w:val="16"/>
  </w:num>
  <w:num w:numId="28">
    <w:abstractNumId w:val="24"/>
  </w:num>
  <w:num w:numId="29">
    <w:abstractNumId w:val="10"/>
  </w:num>
  <w:num w:numId="30">
    <w:abstractNumId w:val="4"/>
  </w:num>
  <w:num w:numId="31">
    <w:abstractNumId w:val="2"/>
  </w:num>
  <w:num w:numId="32">
    <w:abstractNumId w:val="38"/>
  </w:num>
  <w:num w:numId="33">
    <w:abstractNumId w:val="5"/>
  </w:num>
  <w:num w:numId="34">
    <w:abstractNumId w:val="25"/>
  </w:num>
  <w:num w:numId="35">
    <w:abstractNumId w:val="32"/>
  </w:num>
  <w:num w:numId="36">
    <w:abstractNumId w:val="35"/>
  </w:num>
  <w:num w:numId="37">
    <w:abstractNumId w:val="39"/>
  </w:num>
  <w:num w:numId="38">
    <w:abstractNumId w:val="8"/>
  </w:num>
  <w:num w:numId="39">
    <w:abstractNumId w:val="37"/>
  </w:num>
  <w:num w:numId="40">
    <w:abstractNumId w:val="9"/>
  </w:num>
  <w:num w:numId="41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0A2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1FAF"/>
    <w:rsid w:val="001E2093"/>
    <w:rsid w:val="001F4E88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86AEE"/>
    <w:rsid w:val="00390470"/>
    <w:rsid w:val="00392EC2"/>
    <w:rsid w:val="0039643F"/>
    <w:rsid w:val="003C630C"/>
    <w:rsid w:val="003C7B18"/>
    <w:rsid w:val="003D1661"/>
    <w:rsid w:val="003E2261"/>
    <w:rsid w:val="003F193E"/>
    <w:rsid w:val="003F214F"/>
    <w:rsid w:val="004214D4"/>
    <w:rsid w:val="00421C0A"/>
    <w:rsid w:val="00437031"/>
    <w:rsid w:val="004375F6"/>
    <w:rsid w:val="004378C3"/>
    <w:rsid w:val="0044315F"/>
    <w:rsid w:val="00450562"/>
    <w:rsid w:val="00453C41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6C64"/>
    <w:rsid w:val="00514CB0"/>
    <w:rsid w:val="00521B83"/>
    <w:rsid w:val="00522091"/>
    <w:rsid w:val="0053193F"/>
    <w:rsid w:val="00540961"/>
    <w:rsid w:val="0055410B"/>
    <w:rsid w:val="00570BF1"/>
    <w:rsid w:val="0057101F"/>
    <w:rsid w:val="005A0490"/>
    <w:rsid w:val="005A6BBB"/>
    <w:rsid w:val="005B0652"/>
    <w:rsid w:val="005C46B7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2352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C24B0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2847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147A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4552-481D-4743-8DD9-150D99ED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KEMRI/WHO</vt:lpstr>
      <vt:lpstr/>
      <vt:lpstr>PURPOSE</vt:lpstr>
      <vt:lpstr>SCOPE</vt:lpstr>
      <vt:lpstr>PERSONS RESPONSIBLE</vt:lpstr>
      <vt:lpstr>FREQUENCY</vt:lpstr>
      <vt:lpstr>MATERIALS</vt:lpstr>
      <vt:lpstr>PROCEDURE</vt:lpstr>
      <vt:lpstr>REFERENCES</vt:lpstr>
      <vt:lpstr>        8. APPENDICES</vt:lpstr>
    </vt:vector>
  </TitlesOfParts>
  <Company>Deftones</Company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6</cp:revision>
  <cp:lastPrinted>2025-10-07T14:39:00Z</cp:lastPrinted>
  <dcterms:created xsi:type="dcterms:W3CDTF">2025-10-06T16:30:00Z</dcterms:created>
  <dcterms:modified xsi:type="dcterms:W3CDTF">2025-10-07T14:40:00Z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