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3B98FDA9" w:rsidR="008B5059" w:rsidRPr="001C1086" w:rsidRDefault="001C1086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>
        <w:rPr>
          <w:rStyle w:val="Strong"/>
          <w:bCs w:val="0"/>
          <w:sz w:val="40"/>
        </w:rPr>
        <w:t>Ali</w:t>
      </w:r>
      <w:r w:rsidR="00951F08">
        <w:rPr>
          <w:rStyle w:val="Strong"/>
          <w:bCs w:val="0"/>
          <w:sz w:val="40"/>
        </w:rPr>
        <w:t>gnment of DS&amp;AS processes with institutional and National R</w:t>
      </w:r>
      <w:r w:rsidRPr="001C1086">
        <w:rPr>
          <w:rStyle w:val="Strong"/>
          <w:bCs w:val="0"/>
          <w:sz w:val="40"/>
        </w:rPr>
        <w:t>egulations</w:t>
      </w:r>
      <w:r w:rsidRPr="001C1086">
        <w:rPr>
          <w:color w:val="000000" w:themeColor="text1"/>
          <w:sz w:val="40"/>
          <w:szCs w:val="24"/>
        </w:rPr>
        <w:t xml:space="preserve"> </w:t>
      </w:r>
      <w:r w:rsidR="008B5059" w:rsidRPr="001C1086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810A5E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5F57F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810A5E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5F57F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810A5E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5F57F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810A5E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5F57F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810A5E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5F57F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810A5E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5F57F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810A5E">
              <w:rPr>
                <w:noProof/>
                <w:webHidden/>
              </w:rPr>
              <w:t>7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4" w:name="_Toc144316958"/>
      <w:r w:rsidRPr="00E1792A">
        <w:t>PURPOSE</w:t>
      </w:r>
      <w:bookmarkEnd w:id="4"/>
    </w:p>
    <w:p w14:paraId="6910442C" w14:textId="1C10F33C" w:rsidR="00277532" w:rsidRDefault="00277532" w:rsidP="00FE1D19">
      <w:bookmarkStart w:id="5" w:name="_Toc144316959"/>
      <w:r w:rsidRPr="00277532">
        <w:br/>
        <w:t>To ensure that all ope</w:t>
      </w:r>
      <w:r w:rsidR="00D23379">
        <w:t>rational processes within the DS&amp;AS</w:t>
      </w:r>
      <w:r w:rsidRPr="00277532">
        <w:t xml:space="preserve"> are implemented in full compliance with the policies and strategic directions outlined in </w:t>
      </w:r>
      <w:r w:rsidRPr="00277532">
        <w:rPr>
          <w:b/>
          <w:bCs/>
        </w:rPr>
        <w:t>SOP 1: Data Analytics Policies and Strategies</w:t>
      </w:r>
      <w:r w:rsidRPr="00277532">
        <w:t>.</w:t>
      </w:r>
    </w:p>
    <w:p w14:paraId="301439E8" w14:textId="77777777" w:rsidR="00277532" w:rsidRPr="00277532" w:rsidRDefault="00277532" w:rsidP="00FE1D19">
      <w:pPr>
        <w:rPr>
          <w:color w:val="auto"/>
          <w:szCs w:val="24"/>
        </w:rPr>
      </w:pPr>
      <w:r w:rsidRPr="00277532">
        <w:rPr>
          <w:color w:val="auto"/>
          <w:szCs w:val="24"/>
        </w:rPr>
        <w:t xml:space="preserve">This SOP translates those policies into practice by guiding the alignment of DS&amp;AS activities—including data collection, storage, processing, analysis, sharing, and reporting—with institutional requirements, the </w:t>
      </w:r>
      <w:r w:rsidRPr="00277532">
        <w:rPr>
          <w:b/>
          <w:bCs/>
          <w:color w:val="auto"/>
          <w:szCs w:val="24"/>
        </w:rPr>
        <w:t>Kenya Data Protection Act (2019)</w:t>
      </w:r>
      <w:r w:rsidRPr="00277532">
        <w:rPr>
          <w:color w:val="auto"/>
          <w:szCs w:val="24"/>
        </w:rPr>
        <w:t xml:space="preserve">, and relevant international standards such as the </w:t>
      </w:r>
      <w:r w:rsidRPr="00277532">
        <w:rPr>
          <w:b/>
          <w:bCs/>
          <w:color w:val="auto"/>
          <w:szCs w:val="24"/>
        </w:rPr>
        <w:t>FAIR Data Principles</w:t>
      </w:r>
      <w:r w:rsidRPr="00277532">
        <w:rPr>
          <w:color w:val="auto"/>
          <w:szCs w:val="24"/>
        </w:rPr>
        <w:t xml:space="preserve">, </w:t>
      </w:r>
      <w:r w:rsidRPr="00277532">
        <w:rPr>
          <w:b/>
          <w:bCs/>
          <w:color w:val="auto"/>
          <w:szCs w:val="24"/>
        </w:rPr>
        <w:t>GDPR</w:t>
      </w:r>
      <w:r w:rsidRPr="00277532">
        <w:rPr>
          <w:color w:val="auto"/>
          <w:szCs w:val="24"/>
        </w:rPr>
        <w:t xml:space="preserve">, and </w:t>
      </w:r>
      <w:r w:rsidRPr="00277532">
        <w:rPr>
          <w:b/>
          <w:bCs/>
          <w:color w:val="auto"/>
          <w:szCs w:val="24"/>
        </w:rPr>
        <w:t>21 CFR Part 11</w:t>
      </w:r>
      <w:r w:rsidRPr="00277532">
        <w:rPr>
          <w:color w:val="auto"/>
          <w:szCs w:val="24"/>
        </w:rPr>
        <w:t>.</w:t>
      </w:r>
    </w:p>
    <w:p w14:paraId="12FE3EAB" w14:textId="77777777" w:rsidR="00277532" w:rsidRPr="00277532" w:rsidRDefault="00277532" w:rsidP="00FE1D19">
      <w:pPr>
        <w:rPr>
          <w:color w:val="auto"/>
          <w:szCs w:val="24"/>
        </w:rPr>
      </w:pPr>
      <w:r w:rsidRPr="00277532">
        <w:rPr>
          <w:color w:val="auto"/>
          <w:szCs w:val="24"/>
        </w:rPr>
        <w:t>It provides a structured mechanism for maintaining legal, ethical, and institutional conformity across all DS&amp;AS-supported projects, thereby promoting responsible data stewardship, accountability, and sustainable research practices.</w:t>
      </w:r>
    </w:p>
    <w:p w14:paraId="76DFE932" w14:textId="6888F447" w:rsidR="00D0679E" w:rsidRPr="00E1792A" w:rsidRDefault="00A430C0" w:rsidP="00277532">
      <w:pPr>
        <w:pStyle w:val="Heading1"/>
      </w:pPr>
      <w:r w:rsidRPr="00E1792A">
        <w:t>SCOPE</w:t>
      </w:r>
      <w:bookmarkStart w:id="6" w:name="_Hlk144290335"/>
      <w:bookmarkStart w:id="7" w:name="_Hlk144290676"/>
      <w:bookmarkEnd w:id="5"/>
    </w:p>
    <w:p w14:paraId="04037617" w14:textId="2C32D4FF" w:rsidR="00D23379" w:rsidRPr="00D23379" w:rsidRDefault="00D23379" w:rsidP="00FE1D19">
      <w:bookmarkStart w:id="8" w:name="_Toc144203932"/>
      <w:bookmarkStart w:id="9" w:name="_Toc144316960"/>
      <w:bookmarkEnd w:id="6"/>
      <w:bookmarkEnd w:id="7"/>
      <w:r w:rsidRPr="00D23379">
        <w:t xml:space="preserve">This SOP applies to all operational processes and projects within the Data Science &amp; Analytics Section (DS&amp;AS), including biomedical, ecological, and conservation research activities. It provides the implementation framework for </w:t>
      </w:r>
      <w:r w:rsidRPr="00D23379">
        <w:rPr>
          <w:b/>
          <w:bCs/>
        </w:rPr>
        <w:t>SOP 1</w:t>
      </w:r>
      <w:r w:rsidRPr="00D23379">
        <w:t>, ensuring that all DS&amp;AS operations conform to applicable legal, ethical, and institutional requirements.</w:t>
      </w:r>
    </w:p>
    <w:p w14:paraId="7C1547A1" w14:textId="77777777" w:rsidR="00D23379" w:rsidRDefault="00D23379" w:rsidP="00FE1D19">
      <w:r w:rsidRPr="00D23379">
        <w:t>Specifically, it covers:</w:t>
      </w:r>
    </w:p>
    <w:p w14:paraId="79A2A9ED" w14:textId="77777777" w:rsidR="00D23379" w:rsidRDefault="00D23379" w:rsidP="00FE1D19">
      <w:pPr>
        <w:pStyle w:val="ListParagraph"/>
        <w:numPr>
          <w:ilvl w:val="0"/>
          <w:numId w:val="32"/>
        </w:numPr>
      </w:pPr>
      <w:r w:rsidRPr="00D23379">
        <w:t xml:space="preserve">Compliance with the </w:t>
      </w:r>
      <w:r w:rsidRPr="00FE1D19">
        <w:rPr>
          <w:b/>
          <w:bCs/>
        </w:rPr>
        <w:t>Kenya Data Protection Act (2019)</w:t>
      </w:r>
      <w:r w:rsidRPr="00D23379">
        <w:t>, institutional data governan</w:t>
      </w:r>
      <w:r>
        <w:t>ce, and data-sharing policies.</w:t>
      </w:r>
      <w:r w:rsidRPr="00D23379">
        <w:t xml:space="preserve"> </w:t>
      </w:r>
    </w:p>
    <w:p w14:paraId="5C4AD20C" w14:textId="77777777" w:rsidR="00D23379" w:rsidRDefault="00D23379" w:rsidP="00FE1D19">
      <w:pPr>
        <w:pStyle w:val="ListParagraph"/>
        <w:numPr>
          <w:ilvl w:val="0"/>
          <w:numId w:val="32"/>
        </w:numPr>
      </w:pPr>
      <w:r w:rsidRPr="00D23379">
        <w:t xml:space="preserve">Obtaining and maintaining </w:t>
      </w:r>
      <w:r w:rsidRPr="00FE1D19">
        <w:rPr>
          <w:b/>
          <w:bCs/>
        </w:rPr>
        <w:t>ethical approvals</w:t>
      </w:r>
      <w:r w:rsidRPr="00D23379">
        <w:t xml:space="preserve"> from recognized Institutional Review Boards (IRBs) and the </w:t>
      </w:r>
      <w:r w:rsidRPr="00FE1D19">
        <w:rPr>
          <w:b/>
          <w:bCs/>
        </w:rPr>
        <w:t>National Commission for Science, Technology and Innovation (NACOSTI)</w:t>
      </w:r>
      <w:r>
        <w:t>.</w:t>
      </w:r>
      <w:r w:rsidRPr="00D23379">
        <w:t xml:space="preserve"> </w:t>
      </w:r>
    </w:p>
    <w:p w14:paraId="1F5D9F67" w14:textId="77777777" w:rsidR="00D23379" w:rsidRDefault="00D23379" w:rsidP="00FE1D19">
      <w:pPr>
        <w:pStyle w:val="ListParagraph"/>
        <w:numPr>
          <w:ilvl w:val="0"/>
          <w:numId w:val="32"/>
        </w:numPr>
      </w:pPr>
      <w:r w:rsidRPr="00D23379">
        <w:t xml:space="preserve">Alignment with </w:t>
      </w:r>
      <w:r w:rsidRPr="00FE1D19">
        <w:rPr>
          <w:b/>
          <w:bCs/>
        </w:rPr>
        <w:t>international data governance and ethical standards</w:t>
      </w:r>
      <w:r w:rsidRPr="00D23379">
        <w:t>, including the FAIR Data Principles, GDPR, and WH</w:t>
      </w:r>
      <w:r>
        <w:t>O research ethics frameworks.</w:t>
      </w:r>
    </w:p>
    <w:p w14:paraId="13D611C5" w14:textId="65B8F1D8" w:rsidR="00D23379" w:rsidRPr="00D23379" w:rsidRDefault="00D23379" w:rsidP="00FE1D19">
      <w:pPr>
        <w:pStyle w:val="ListParagraph"/>
        <w:numPr>
          <w:ilvl w:val="0"/>
          <w:numId w:val="32"/>
        </w:numPr>
      </w:pPr>
      <w:r w:rsidRPr="00D23379">
        <w:t xml:space="preserve">Systematic </w:t>
      </w:r>
      <w:r w:rsidRPr="00FE1D19">
        <w:rPr>
          <w:b/>
          <w:bCs/>
        </w:rPr>
        <w:t>documentation and verification of compliance checks</w:t>
      </w:r>
      <w:r w:rsidRPr="00D23379">
        <w:t xml:space="preserve"> across all DS&amp;AS-supported research and data analytics activities.</w:t>
      </w:r>
    </w:p>
    <w:p w14:paraId="2A50F2FB" w14:textId="4CEC9371" w:rsidR="00A430C0" w:rsidRPr="00E1792A" w:rsidRDefault="00A430C0" w:rsidP="00D23379">
      <w:pPr>
        <w:pStyle w:val="Heading1"/>
      </w:pPr>
      <w:r w:rsidRPr="00E1792A">
        <w:t>PERSONS RESPONSIBLE:</w:t>
      </w:r>
      <w:bookmarkEnd w:id="8"/>
      <w:bookmarkEnd w:id="9"/>
      <w:r w:rsidRPr="00E1792A">
        <w:t xml:space="preserve"> </w:t>
      </w:r>
    </w:p>
    <w:p w14:paraId="08B80968" w14:textId="518E8C4D" w:rsidR="001C1086" w:rsidRDefault="001C1086" w:rsidP="00FE1D19">
      <w:pPr>
        <w:pStyle w:val="ListParagraph"/>
        <w:numPr>
          <w:ilvl w:val="0"/>
          <w:numId w:val="33"/>
        </w:numPr>
      </w:pPr>
      <w:r>
        <w:rPr>
          <w:rStyle w:val="Strong"/>
        </w:rPr>
        <w:t>Head of DS&amp;AS</w:t>
      </w:r>
      <w:r>
        <w:t xml:space="preserve"> – Ensures overall compliance and reports to the Director of Research and Product Development.</w:t>
      </w:r>
    </w:p>
    <w:p w14:paraId="174D8139" w14:textId="77777777" w:rsidR="001C1086" w:rsidRDefault="001C1086" w:rsidP="00FE1D19">
      <w:pPr>
        <w:pStyle w:val="ListParagraph"/>
        <w:numPr>
          <w:ilvl w:val="0"/>
          <w:numId w:val="33"/>
        </w:numPr>
      </w:pPr>
      <w:r>
        <w:rPr>
          <w:rStyle w:val="Strong"/>
        </w:rPr>
        <w:t>Data Protection Officer (DPO)</w:t>
      </w:r>
      <w:r>
        <w:t xml:space="preserve"> – Provides oversight on adherence to the Data Protection Act and institutional policies.</w:t>
      </w:r>
    </w:p>
    <w:p w14:paraId="13632227" w14:textId="77777777" w:rsidR="001C1086" w:rsidRDefault="001C1086" w:rsidP="00FE1D19">
      <w:pPr>
        <w:pStyle w:val="ListParagraph"/>
        <w:numPr>
          <w:ilvl w:val="0"/>
          <w:numId w:val="33"/>
        </w:numPr>
      </w:pPr>
      <w:r>
        <w:rPr>
          <w:rStyle w:val="Strong"/>
        </w:rPr>
        <w:t>DS&amp;AS Compliance Officer / Assigned Analyst</w:t>
      </w:r>
      <w:r>
        <w:t xml:space="preserve"> – Conducts routine compliance checks.</w:t>
      </w:r>
    </w:p>
    <w:p w14:paraId="5D21FFB8" w14:textId="77777777" w:rsidR="001C1086" w:rsidRDefault="001C1086" w:rsidP="00FE1D19">
      <w:pPr>
        <w:pStyle w:val="ListParagraph"/>
        <w:numPr>
          <w:ilvl w:val="0"/>
          <w:numId w:val="33"/>
        </w:numPr>
      </w:pPr>
      <w:r>
        <w:rPr>
          <w:rStyle w:val="Strong"/>
        </w:rPr>
        <w:t>Principal Investigators (PIs)</w:t>
      </w:r>
      <w:r>
        <w:t xml:space="preserve"> – Ensure that project-level processes (study design, data collection, analysis) meet ethical and legal requirements.</w:t>
      </w:r>
    </w:p>
    <w:p w14:paraId="7D8F408C" w14:textId="196F85BB" w:rsidR="00A430C0" w:rsidRPr="00E1792A" w:rsidRDefault="001C1086" w:rsidP="00FE1D19">
      <w:pPr>
        <w:pStyle w:val="ListParagraph"/>
        <w:numPr>
          <w:ilvl w:val="0"/>
          <w:numId w:val="33"/>
        </w:numPr>
      </w:pPr>
      <w:r>
        <w:rPr>
          <w:rStyle w:val="Strong"/>
        </w:rPr>
        <w:t>Ethics Review Committees &amp; Regulators</w:t>
      </w:r>
      <w:r>
        <w:t xml:space="preserve"> – Provide external approvals and oversight.</w:t>
      </w:r>
    </w:p>
    <w:p w14:paraId="7BAC35F7" w14:textId="77777777" w:rsidR="00A430C0" w:rsidRPr="00E1792A" w:rsidRDefault="00A430C0" w:rsidP="00D0679E">
      <w:pPr>
        <w:pStyle w:val="Heading1"/>
      </w:pPr>
      <w:bookmarkStart w:id="10" w:name="_Toc144203933"/>
      <w:bookmarkStart w:id="11" w:name="_Toc144316961"/>
      <w:r w:rsidRPr="00E1792A">
        <w:t>FREQUENCY</w:t>
      </w:r>
      <w:bookmarkEnd w:id="10"/>
      <w:bookmarkEnd w:id="11"/>
    </w:p>
    <w:p w14:paraId="2E1AA025" w14:textId="77777777" w:rsidR="00E82097" w:rsidRPr="00E82097" w:rsidRDefault="00E82097" w:rsidP="00FE1D19">
      <w:pPr>
        <w:pStyle w:val="ListParagraph"/>
        <w:numPr>
          <w:ilvl w:val="0"/>
          <w:numId w:val="34"/>
        </w:numPr>
      </w:pPr>
      <w:bookmarkStart w:id="12" w:name="_Toc144316962"/>
      <w:r w:rsidRPr="00FE1D19">
        <w:rPr>
          <w:b/>
          <w:bCs/>
        </w:rPr>
        <w:t>Before Project Initiation:</w:t>
      </w:r>
      <w:r w:rsidRPr="00E82097">
        <w:t xml:space="preserve"> Conduct compliance checks to verify ethical approvals, informed consent forms, and data collection procedures.</w:t>
      </w:r>
    </w:p>
    <w:p w14:paraId="4E7E7E3D" w14:textId="77777777" w:rsidR="00E82097" w:rsidRPr="00E82097" w:rsidRDefault="00E82097" w:rsidP="00FE1D19">
      <w:pPr>
        <w:pStyle w:val="ListParagraph"/>
        <w:numPr>
          <w:ilvl w:val="0"/>
          <w:numId w:val="34"/>
        </w:numPr>
      </w:pPr>
      <w:r w:rsidRPr="00FE1D19">
        <w:rPr>
          <w:b/>
          <w:bCs/>
        </w:rPr>
        <w:t>During Project Implementation:</w:t>
      </w:r>
      <w:r w:rsidRPr="00E82097">
        <w:t xml:space="preserve"> Maintain continuous oversight of data handling, access control, sharing practices, and adherence to approved protocols.</w:t>
      </w:r>
    </w:p>
    <w:p w14:paraId="65BDB8FC" w14:textId="77777777" w:rsidR="00E82097" w:rsidRPr="00E82097" w:rsidRDefault="00E82097" w:rsidP="00FE1D19">
      <w:pPr>
        <w:pStyle w:val="ListParagraph"/>
        <w:numPr>
          <w:ilvl w:val="0"/>
          <w:numId w:val="34"/>
        </w:numPr>
      </w:pPr>
      <w:r w:rsidRPr="00FE1D19">
        <w:rPr>
          <w:b/>
          <w:bCs/>
        </w:rPr>
        <w:t>Annual Compliance Review:</w:t>
      </w:r>
      <w:r w:rsidRPr="00E82097">
        <w:t xml:space="preserve"> The DS&amp;AS, in collaboration with the Data Protection Officer (DPO), performs annual audits of all active projects to assess ongoing conformity.</w:t>
      </w:r>
    </w:p>
    <w:p w14:paraId="3A6E78AF" w14:textId="77777777" w:rsidR="00E82097" w:rsidRPr="00E82097" w:rsidRDefault="00E82097" w:rsidP="00FE1D19">
      <w:pPr>
        <w:pStyle w:val="ListParagraph"/>
        <w:numPr>
          <w:ilvl w:val="0"/>
          <w:numId w:val="34"/>
        </w:numPr>
      </w:pPr>
      <w:r w:rsidRPr="00FE1D19">
        <w:rPr>
          <w:b/>
          <w:bCs/>
        </w:rPr>
        <w:t>Triggered Updates:</w:t>
      </w:r>
      <w:r w:rsidRPr="00E82097">
        <w:t xml:space="preserve"> Implement immediate reviews and procedural updates following amendments to the </w:t>
      </w:r>
      <w:r w:rsidRPr="00FE1D19">
        <w:rPr>
          <w:b/>
          <w:bCs/>
        </w:rPr>
        <w:t>Kenya Data Protection Act (2019)</w:t>
      </w:r>
      <w:r w:rsidRPr="00E82097">
        <w:t xml:space="preserve"> or related institutional or international regulatory changes.</w:t>
      </w:r>
    </w:p>
    <w:p w14:paraId="147A56C9" w14:textId="17D8178B" w:rsidR="00EF6627" w:rsidRDefault="00EF6627" w:rsidP="00E82097">
      <w:pPr>
        <w:pStyle w:val="Heading1"/>
      </w:pPr>
      <w:r>
        <w:t>MATERIALS</w:t>
      </w:r>
      <w:bookmarkEnd w:id="12"/>
    </w:p>
    <w:p w14:paraId="1210A472" w14:textId="77777777" w:rsidR="00E82097" w:rsidRDefault="00E82097" w:rsidP="00FE1D19">
      <w:pPr>
        <w:pStyle w:val="ListParagraph"/>
        <w:numPr>
          <w:ilvl w:val="0"/>
          <w:numId w:val="35"/>
        </w:numPr>
      </w:pPr>
      <w:bookmarkStart w:id="13" w:name="_Toc144203934"/>
      <w:bookmarkStart w:id="14" w:name="_Toc144316963"/>
      <w:r>
        <w:rPr>
          <w:rStyle w:val="Strong"/>
        </w:rPr>
        <w:t>Kenya Data Protection Act (2019)</w:t>
      </w:r>
      <w:r>
        <w:t xml:space="preserve"> and associated implementing regulations.</w:t>
      </w:r>
    </w:p>
    <w:p w14:paraId="62E56503" w14:textId="77777777" w:rsidR="00E82097" w:rsidRDefault="00E82097" w:rsidP="00FE1D19">
      <w:pPr>
        <w:pStyle w:val="ListParagraph"/>
        <w:numPr>
          <w:ilvl w:val="0"/>
          <w:numId w:val="35"/>
        </w:numPr>
      </w:pPr>
      <w:r>
        <w:rPr>
          <w:rStyle w:val="Strong"/>
        </w:rPr>
        <w:t>KIPRE Institutional Data Protection and Sharing Policy.</w:t>
      </w:r>
    </w:p>
    <w:p w14:paraId="0CB51040" w14:textId="77777777" w:rsidR="00E82097" w:rsidRDefault="00E82097" w:rsidP="00FE1D19">
      <w:pPr>
        <w:pStyle w:val="ListParagraph"/>
        <w:numPr>
          <w:ilvl w:val="0"/>
          <w:numId w:val="35"/>
        </w:numPr>
      </w:pPr>
      <w:r>
        <w:rPr>
          <w:rStyle w:val="Strong"/>
        </w:rPr>
        <w:t>NACOSTI</w:t>
      </w:r>
      <w:r>
        <w:t xml:space="preserve"> research and ethics approval frameworks.</w:t>
      </w:r>
    </w:p>
    <w:p w14:paraId="1DA065E5" w14:textId="77777777" w:rsidR="00E82097" w:rsidRDefault="00E82097" w:rsidP="00FE1D19">
      <w:pPr>
        <w:pStyle w:val="ListParagraph"/>
        <w:numPr>
          <w:ilvl w:val="0"/>
          <w:numId w:val="35"/>
        </w:numPr>
      </w:pPr>
      <w:r>
        <w:rPr>
          <w:rStyle w:val="Strong"/>
        </w:rPr>
        <w:t>Institutional Review Board (IRB)</w:t>
      </w:r>
      <w:r>
        <w:t xml:space="preserve"> protocols and guidance documents.</w:t>
      </w:r>
    </w:p>
    <w:p w14:paraId="77C672C4" w14:textId="77777777" w:rsidR="00E82097" w:rsidRDefault="00E82097" w:rsidP="00FE1D19">
      <w:pPr>
        <w:pStyle w:val="ListParagraph"/>
        <w:numPr>
          <w:ilvl w:val="0"/>
          <w:numId w:val="35"/>
        </w:numPr>
      </w:pPr>
      <w:r>
        <w:t xml:space="preserve">Standard </w:t>
      </w:r>
      <w:r>
        <w:rPr>
          <w:rStyle w:val="Strong"/>
        </w:rPr>
        <w:t>compliance checklists</w:t>
      </w:r>
      <w:r>
        <w:t xml:space="preserve"> for DS&amp;AS projects.</w:t>
      </w:r>
    </w:p>
    <w:p w14:paraId="75DAEC8F" w14:textId="132DC07E" w:rsidR="00E82097" w:rsidRDefault="00E82097" w:rsidP="00FE1D19">
      <w:pPr>
        <w:pStyle w:val="ListParagraph"/>
        <w:numPr>
          <w:ilvl w:val="0"/>
          <w:numId w:val="35"/>
        </w:numPr>
      </w:pPr>
      <w:r>
        <w:rPr>
          <w:rStyle w:val="Strong"/>
        </w:rPr>
        <w:t>Data governance dashboards</w:t>
      </w:r>
      <w:r>
        <w:t xml:space="preserve"> and digital monitoring tools used for compliance tracking.</w:t>
      </w:r>
    </w:p>
    <w:p w14:paraId="5E2ED925" w14:textId="77777777" w:rsidR="00A82E7F" w:rsidRDefault="00A82E7F" w:rsidP="00A82E7F"/>
    <w:p w14:paraId="0E930B32" w14:textId="77777777" w:rsidR="00A82E7F" w:rsidRDefault="00A82E7F" w:rsidP="00A82E7F"/>
    <w:bookmarkEnd w:id="13"/>
    <w:bookmarkEnd w:id="14"/>
    <w:p w14:paraId="6BCA1F19" w14:textId="77777777" w:rsidR="00E11690" w:rsidRDefault="00E11690" w:rsidP="00E11690">
      <w:pPr>
        <w:pStyle w:val="NormalWeb"/>
      </w:pPr>
      <w:r>
        <w:rPr>
          <w:rStyle w:val="Strong"/>
        </w:rPr>
        <w:t>6. PROCEDURE</w:t>
      </w:r>
    </w:p>
    <w:p w14:paraId="4417EEBA" w14:textId="77777777" w:rsidR="00E11690" w:rsidRPr="00FE1D19" w:rsidRDefault="00E11690" w:rsidP="00A82E7F">
      <w:pPr>
        <w:pStyle w:val="NormalWeb"/>
        <w:numPr>
          <w:ilvl w:val="0"/>
          <w:numId w:val="36"/>
        </w:numPr>
        <w:spacing w:before="240" w:beforeAutospacing="0"/>
      </w:pPr>
      <w:r>
        <w:rPr>
          <w:rStyle w:val="Strong"/>
        </w:rPr>
        <w:t>Step 1: Pre-Project Compliance Review</w:t>
      </w:r>
      <w:r>
        <w:br/>
      </w:r>
      <w:r w:rsidRPr="00FE1D19">
        <w:t>• The Principal Investigator (PI) submits the study protocol and data management plan to DS&amp;AS.</w:t>
      </w:r>
      <w:r w:rsidRPr="00FE1D19">
        <w:br/>
        <w:t>• DS&amp;AS reviews the submission for conformity with institutional policies, the Kenya Data Protection Act (2019), and relevant ethical standards.</w:t>
      </w:r>
      <w:r w:rsidRPr="00FE1D19">
        <w:br/>
        <w:t>• All mandatory approvals from the Institutional Review Board (IRB) and NACOSTI must be secured and documented before project initiation.</w:t>
      </w:r>
    </w:p>
    <w:p w14:paraId="652E3E18" w14:textId="6896B599" w:rsidR="00E11690" w:rsidRPr="00FE1D19" w:rsidRDefault="00E11690" w:rsidP="00A82E7F">
      <w:pPr>
        <w:pStyle w:val="NormalWeb"/>
        <w:numPr>
          <w:ilvl w:val="0"/>
          <w:numId w:val="36"/>
        </w:numPr>
        <w:spacing w:before="240" w:beforeAutospacing="0"/>
      </w:pPr>
      <w:r>
        <w:rPr>
          <w:rStyle w:val="Strong"/>
        </w:rPr>
        <w:t>Step 2: Ongoing Compliance Monitoring</w:t>
      </w:r>
      <w:r>
        <w:br/>
      </w:r>
      <w:r w:rsidRPr="00FE1D19">
        <w:t>• DS&amp;AS continuously tracks data handling processes through compliance dashboards and audit tools.</w:t>
      </w:r>
      <w:r w:rsidRPr="00FE1D19">
        <w:br/>
        <w:t>• Access to sensitive data is managed using role-based controls, encryption, and secure authentication mechanisms.</w:t>
      </w:r>
      <w:r w:rsidRPr="00FE1D19">
        <w:br/>
        <w:t>• Periodic audits verify adherence to consent provisions, anonymisation protocols, and approved data transfer procedures.</w:t>
      </w:r>
    </w:p>
    <w:p w14:paraId="6E6D2F90" w14:textId="2CD10400" w:rsidR="00A82E7F" w:rsidRDefault="00E11690" w:rsidP="00A82E7F">
      <w:pPr>
        <w:pStyle w:val="NormalWeb"/>
        <w:numPr>
          <w:ilvl w:val="0"/>
          <w:numId w:val="36"/>
        </w:numPr>
        <w:spacing w:before="240" w:beforeAutospacing="0"/>
      </w:pPr>
      <w:r>
        <w:rPr>
          <w:rStyle w:val="Strong"/>
        </w:rPr>
        <w:t>Step 3: Breach and Incident Handling</w:t>
      </w:r>
      <w:r>
        <w:br/>
      </w:r>
      <w:r w:rsidRPr="00FE1D19">
        <w:t>• In the event of a data breach or security incident, DS&amp;AS coordinates with the ICT Department and the Data Protection Officer (DPO) to ensure immediate containment and mitigation.</w:t>
      </w:r>
      <w:r w:rsidRPr="00FE1D19">
        <w:br/>
        <w:t>• Notifications to regulatory authorities and affected data subjects must be issued within 72 hours, as stipulated in the Kenya Data Protection Act (2019).</w:t>
      </w:r>
      <w:r w:rsidRPr="00FE1D19">
        <w:br/>
        <w:t>• Each incident must be fully documented, including corrective actions and lessons learned.</w:t>
      </w:r>
    </w:p>
    <w:p w14:paraId="6EB4D67C" w14:textId="065BA934" w:rsidR="00A82E7F" w:rsidRPr="00FE1D19" w:rsidRDefault="00E11690" w:rsidP="00A82E7F">
      <w:pPr>
        <w:pStyle w:val="NormalWeb"/>
        <w:numPr>
          <w:ilvl w:val="0"/>
          <w:numId w:val="36"/>
        </w:numPr>
        <w:spacing w:before="240" w:beforeAutospacing="0"/>
      </w:pPr>
      <w:r>
        <w:rPr>
          <w:rStyle w:val="Strong"/>
        </w:rPr>
        <w:t>Step 4: Annual and Ad-Hoc Reviews</w:t>
      </w:r>
      <w:r>
        <w:br/>
      </w:r>
      <w:r w:rsidRPr="00FE1D19">
        <w:t>• DS&amp;AS and the DPO conduct an annual compliance audit covering all active research and data analytics projects.</w:t>
      </w:r>
      <w:r w:rsidRPr="00FE1D19">
        <w:br/>
        <w:t>• The review assesses data quality, information security controls, validity of ethical approvals, and adherence to the FAIR Data Principles.</w:t>
      </w:r>
      <w:r w:rsidRPr="00FE1D19">
        <w:br/>
        <w:t>• Ad-hoc reviews may be initiated in response to legal or policy changes, detected risks, or internal audit findings.</w:t>
      </w:r>
    </w:p>
    <w:p w14:paraId="6B169864" w14:textId="162E1C6B" w:rsidR="00E11690" w:rsidRDefault="00E11690" w:rsidP="00A82E7F">
      <w:pPr>
        <w:pStyle w:val="NormalWeb"/>
        <w:numPr>
          <w:ilvl w:val="0"/>
          <w:numId w:val="36"/>
        </w:numPr>
        <w:spacing w:before="240" w:beforeAutospacing="0"/>
      </w:pPr>
      <w:r>
        <w:rPr>
          <w:rStyle w:val="Strong"/>
        </w:rPr>
        <w:t>Step 5: Reporting and Documentation</w:t>
      </w:r>
      <w:r>
        <w:br/>
      </w:r>
      <w:r w:rsidRPr="00FE1D19">
        <w:t>• Compliance reports are prepared by DS&amp;AS and submitted to the Director of Research and Product Development for institutional review.</w:t>
      </w:r>
      <w:r w:rsidRPr="00FE1D19">
        <w:br/>
        <w:t>• All reports and supporting evidence are archived in the institutional compliance repository.</w:t>
      </w:r>
      <w:r w:rsidRPr="00FE1D19">
        <w:br/>
        <w:t>• A summary of key findings is shared with staff through compliance awareness workshops.</w:t>
      </w:r>
    </w:p>
    <w:p w14:paraId="2D343F9E" w14:textId="32BBE3A8" w:rsidR="002435E5" w:rsidRPr="00FE1D19" w:rsidRDefault="00E11690" w:rsidP="00A82E7F">
      <w:pPr>
        <w:pStyle w:val="NormalWeb"/>
        <w:numPr>
          <w:ilvl w:val="0"/>
          <w:numId w:val="36"/>
        </w:numPr>
        <w:spacing w:before="240" w:beforeAutospacing="0"/>
      </w:pPr>
      <w:r>
        <w:rPr>
          <w:rStyle w:val="Strong"/>
        </w:rPr>
        <w:t>Step 6: Continuous Capacity Building</w:t>
      </w:r>
      <w:r>
        <w:br/>
      </w:r>
      <w:r w:rsidRPr="00FE1D19">
        <w:t>• DS&amp;AS conducts regular training sessions for staff and researchers on evolving compliance and data governance requirements.</w:t>
      </w:r>
      <w:r w:rsidRPr="00FE1D19">
        <w:br/>
        <w:t>• Refresher courses are organized annually and whenever significant regulatory or institutional updates occur.</w:t>
      </w:r>
    </w:p>
    <w:p w14:paraId="15CDF988" w14:textId="1A2E6B17" w:rsidR="00FE1D19" w:rsidRPr="00A82E7F" w:rsidRDefault="007F2FA3" w:rsidP="00A82E7F">
      <w:pPr>
        <w:pStyle w:val="Heading1"/>
        <w:spacing w:before="240"/>
        <w:rPr>
          <w:szCs w:val="24"/>
        </w:rPr>
      </w:pPr>
      <w:bookmarkStart w:id="15" w:name="_Toc144316964"/>
      <w:r w:rsidRPr="00E1792A">
        <w:rPr>
          <w:szCs w:val="24"/>
        </w:rPr>
        <w:t>REFERENCES</w:t>
      </w:r>
      <w:bookmarkEnd w:id="3"/>
      <w:bookmarkEnd w:id="15"/>
    </w:p>
    <w:p w14:paraId="34D1081E" w14:textId="77777777" w:rsidR="00DD69E2" w:rsidRPr="00DD69E2" w:rsidRDefault="00DD69E2" w:rsidP="00FE1D19">
      <w:pPr>
        <w:pStyle w:val="ListParagraph"/>
        <w:numPr>
          <w:ilvl w:val="0"/>
          <w:numId w:val="38"/>
        </w:numPr>
      </w:pPr>
      <w:r w:rsidRPr="00DD69E2">
        <w:t>Kenya Data Protection Act (2019). Government of Kenya, Nairobi.</w:t>
      </w:r>
    </w:p>
    <w:p w14:paraId="5231246A" w14:textId="77777777" w:rsidR="00DD69E2" w:rsidRPr="00DD69E2" w:rsidRDefault="00DD69E2" w:rsidP="00FE1D19">
      <w:pPr>
        <w:pStyle w:val="ListParagraph"/>
        <w:numPr>
          <w:ilvl w:val="0"/>
          <w:numId w:val="38"/>
        </w:numPr>
      </w:pPr>
      <w:r w:rsidRPr="00DD69E2">
        <w:t>Kenya Data Protection (General) Regulations (2021). Office of the Data Protection Commissioner (ODPC).</w:t>
      </w:r>
    </w:p>
    <w:p w14:paraId="424ED538" w14:textId="77777777" w:rsidR="00DD69E2" w:rsidRPr="00DD69E2" w:rsidRDefault="00DD69E2" w:rsidP="00FE1D19">
      <w:pPr>
        <w:pStyle w:val="ListParagraph"/>
        <w:numPr>
          <w:ilvl w:val="0"/>
          <w:numId w:val="38"/>
        </w:numPr>
      </w:pPr>
      <w:r w:rsidRPr="00DD69E2">
        <w:t>Science, Technology and Innovation Act (2013). National Commission for Science, Technology and Innovation (NACOSTI).</w:t>
      </w:r>
    </w:p>
    <w:p w14:paraId="65568F99" w14:textId="77777777" w:rsidR="00DD69E2" w:rsidRPr="00DD69E2" w:rsidRDefault="00DD69E2" w:rsidP="00FE1D19">
      <w:pPr>
        <w:pStyle w:val="ListParagraph"/>
        <w:numPr>
          <w:ilvl w:val="0"/>
          <w:numId w:val="38"/>
        </w:numPr>
      </w:pPr>
      <w:r w:rsidRPr="00DD69E2">
        <w:t>KIPRE Institutional Data Protection and Sharing Policy (2024). Kenya Institute of Primate Research (KIPRE).</w:t>
      </w:r>
    </w:p>
    <w:p w14:paraId="44CFBAA5" w14:textId="77777777" w:rsidR="00DD69E2" w:rsidRPr="00DD69E2" w:rsidRDefault="00DD69E2" w:rsidP="00FE1D19">
      <w:pPr>
        <w:pStyle w:val="ListParagraph"/>
        <w:numPr>
          <w:ilvl w:val="0"/>
          <w:numId w:val="38"/>
        </w:numPr>
      </w:pPr>
      <w:r w:rsidRPr="00DD69E2">
        <w:t>Institutional Review Board (IRB) Guidelines and Standard Operating Procedures. KIPRE.</w:t>
      </w:r>
    </w:p>
    <w:p w14:paraId="70383284" w14:textId="77777777" w:rsidR="00DD69E2" w:rsidRPr="00DD69E2" w:rsidRDefault="00DD69E2" w:rsidP="00FE1D19">
      <w:pPr>
        <w:pStyle w:val="ListParagraph"/>
        <w:numPr>
          <w:ilvl w:val="0"/>
          <w:numId w:val="38"/>
        </w:numPr>
      </w:pPr>
      <w:r w:rsidRPr="00DD69E2">
        <w:t>SOP 1: Data Analytics Policies and Strategies. Data Science &amp; Analytics Section (DS&amp;AS), KIPRE.</w:t>
      </w:r>
    </w:p>
    <w:p w14:paraId="36F6E558" w14:textId="77777777" w:rsidR="00DD69E2" w:rsidRPr="00DD69E2" w:rsidRDefault="00DD69E2" w:rsidP="00FE1D19">
      <w:pPr>
        <w:pStyle w:val="ListParagraph"/>
        <w:numPr>
          <w:ilvl w:val="0"/>
          <w:numId w:val="38"/>
        </w:numPr>
      </w:pPr>
      <w:r w:rsidRPr="00DD69E2">
        <w:t>FAIR Data Principles. GO FAIR Initiative, 2016.</w:t>
      </w:r>
    </w:p>
    <w:p w14:paraId="38C93052" w14:textId="77777777" w:rsidR="00DD69E2" w:rsidRPr="00DD69E2" w:rsidRDefault="00DD69E2" w:rsidP="00FE1D19">
      <w:pPr>
        <w:pStyle w:val="ListParagraph"/>
        <w:numPr>
          <w:ilvl w:val="0"/>
          <w:numId w:val="38"/>
        </w:numPr>
      </w:pPr>
      <w:r w:rsidRPr="00DD69E2">
        <w:t>General Data Protection Regulation (GDPR) (EU) 2016/679. European Parliament and Council of the European Union.</w:t>
      </w:r>
    </w:p>
    <w:p w14:paraId="194F7AFB" w14:textId="77777777" w:rsidR="00DD69E2" w:rsidRPr="00DD69E2" w:rsidRDefault="00DD69E2" w:rsidP="00FE1D19">
      <w:pPr>
        <w:pStyle w:val="ListParagraph"/>
        <w:numPr>
          <w:ilvl w:val="0"/>
          <w:numId w:val="38"/>
        </w:numPr>
      </w:pPr>
      <w:r w:rsidRPr="00DD69E2">
        <w:t>Title 21, Code of Federal Regulations, Part 11 (21 CFR Part 11). U.S. Food and Drug Administration (FDA).</w:t>
      </w:r>
    </w:p>
    <w:p w14:paraId="192DA3B6" w14:textId="77777777" w:rsidR="00DD69E2" w:rsidRPr="00DD69E2" w:rsidRDefault="00DD69E2" w:rsidP="00FE1D19">
      <w:pPr>
        <w:pStyle w:val="ListParagraph"/>
        <w:numPr>
          <w:ilvl w:val="0"/>
          <w:numId w:val="38"/>
        </w:numPr>
      </w:pPr>
      <w:r w:rsidRPr="00DD69E2">
        <w:t>Health Insurance Portability and Accountability Act (HIPAA) of 1996. U.S. Department of Health and Human Services.</w:t>
      </w:r>
    </w:p>
    <w:p w14:paraId="06EE3D42" w14:textId="77777777" w:rsidR="00DD69E2" w:rsidRPr="00DD69E2" w:rsidRDefault="00DD69E2" w:rsidP="00FE1D19">
      <w:pPr>
        <w:pStyle w:val="ListParagraph"/>
        <w:numPr>
          <w:ilvl w:val="0"/>
          <w:numId w:val="38"/>
        </w:numPr>
      </w:pPr>
      <w:r w:rsidRPr="00DD69E2">
        <w:t>World Health Organization (WHO) Guidelines on Ethics in Health Research. WHO, Geneva.</w:t>
      </w:r>
    </w:p>
    <w:p w14:paraId="7CB0D308" w14:textId="77777777" w:rsidR="00DD69E2" w:rsidRDefault="00DD69E2" w:rsidP="00FE1D19">
      <w:pPr>
        <w:pStyle w:val="ListParagraph"/>
        <w:numPr>
          <w:ilvl w:val="0"/>
          <w:numId w:val="38"/>
        </w:numPr>
      </w:pPr>
      <w:r w:rsidRPr="00DD69E2">
        <w:t>Federal Information Security Management Act (FISMA) of 2002 (amended 2014). U.S. Congress.</w:t>
      </w:r>
    </w:p>
    <w:p w14:paraId="33D355DD" w14:textId="77777777" w:rsidR="00351A1E" w:rsidRDefault="00351A1E" w:rsidP="00351A1E">
      <w:pPr>
        <w:spacing w:before="100" w:beforeAutospacing="1" w:after="100" w:afterAutospacing="1" w:line="240" w:lineRule="auto"/>
        <w:ind w:left="720" w:right="0" w:firstLine="0"/>
        <w:rPr>
          <w:color w:val="auto"/>
          <w:szCs w:val="24"/>
        </w:rPr>
      </w:pPr>
    </w:p>
    <w:p w14:paraId="7622AE4E" w14:textId="77777777" w:rsidR="00BE4756" w:rsidRDefault="00BE4756" w:rsidP="00351A1E">
      <w:pPr>
        <w:spacing w:before="100" w:beforeAutospacing="1" w:after="100" w:afterAutospacing="1" w:line="240" w:lineRule="auto"/>
        <w:ind w:left="720" w:right="0" w:firstLine="0"/>
        <w:rPr>
          <w:color w:val="auto"/>
          <w:szCs w:val="24"/>
        </w:rPr>
      </w:pPr>
    </w:p>
    <w:p w14:paraId="10618B50" w14:textId="77777777" w:rsidR="00BE4756" w:rsidRPr="00DD69E2" w:rsidRDefault="00BE4756" w:rsidP="00351A1E">
      <w:pPr>
        <w:spacing w:before="100" w:beforeAutospacing="1" w:after="100" w:afterAutospacing="1" w:line="240" w:lineRule="auto"/>
        <w:ind w:left="720" w:right="0" w:firstLine="0"/>
        <w:rPr>
          <w:color w:val="auto"/>
          <w:szCs w:val="24"/>
        </w:rPr>
      </w:pPr>
      <w:bookmarkStart w:id="16" w:name="_GoBack"/>
      <w:bookmarkEnd w:id="16"/>
    </w:p>
    <w:p w14:paraId="3BCAB01C" w14:textId="77777777" w:rsidR="00351A1E" w:rsidRPr="00351A1E" w:rsidRDefault="00351A1E" w:rsidP="00351A1E">
      <w:pPr>
        <w:pStyle w:val="Heading1"/>
      </w:pPr>
      <w:r w:rsidRPr="00351A1E">
        <w:t>APPENDIX: COMPLIANCE AND DOCUMENTATION FORMS</w:t>
      </w:r>
    </w:p>
    <w:p w14:paraId="69D2E5C1" w14:textId="77777777" w:rsidR="00351A1E" w:rsidRPr="00351A1E" w:rsidRDefault="00351A1E" w:rsidP="00351A1E">
      <w:pPr>
        <w:spacing w:before="100" w:beforeAutospacing="1" w:after="100" w:afterAutospacing="1" w:line="240" w:lineRule="auto"/>
        <w:ind w:left="0" w:right="0" w:firstLine="0"/>
        <w:rPr>
          <w:color w:val="auto"/>
          <w:szCs w:val="24"/>
        </w:rPr>
      </w:pPr>
      <w:r w:rsidRPr="00351A1E">
        <w:rPr>
          <w:color w:val="auto"/>
          <w:szCs w:val="24"/>
        </w:rPr>
        <w:t>The following standard forms and templates shall support the implementation of this SOP:</w:t>
      </w:r>
    </w:p>
    <w:p w14:paraId="5AC5172C" w14:textId="77777777" w:rsidR="00351A1E" w:rsidRPr="00351A1E" w:rsidRDefault="00351A1E" w:rsidP="00351A1E">
      <w:pPr>
        <w:numPr>
          <w:ilvl w:val="0"/>
          <w:numId w:val="31"/>
        </w:numPr>
        <w:spacing w:before="100" w:beforeAutospacing="1" w:after="100" w:afterAutospacing="1" w:line="240" w:lineRule="auto"/>
        <w:ind w:right="0"/>
        <w:rPr>
          <w:color w:val="auto"/>
          <w:szCs w:val="24"/>
        </w:rPr>
      </w:pPr>
      <w:r w:rsidRPr="00351A1E">
        <w:rPr>
          <w:b/>
          <w:bCs/>
          <w:color w:val="auto"/>
          <w:szCs w:val="24"/>
        </w:rPr>
        <w:t>Pre-Project Compliance Review Form</w:t>
      </w:r>
    </w:p>
    <w:p w14:paraId="5616C8B4" w14:textId="77777777" w:rsidR="00351A1E" w:rsidRPr="00351A1E" w:rsidRDefault="00351A1E" w:rsidP="00FE1D19">
      <w:r w:rsidRPr="00351A1E">
        <w:t>To document ethical approvals, consent templates, and alignment with institutional and legal requirements prior to project initiation.</w:t>
      </w:r>
    </w:p>
    <w:p w14:paraId="431E7370" w14:textId="77777777" w:rsidR="00351A1E" w:rsidRPr="00351A1E" w:rsidRDefault="00351A1E" w:rsidP="00351A1E">
      <w:pPr>
        <w:numPr>
          <w:ilvl w:val="0"/>
          <w:numId w:val="31"/>
        </w:numPr>
        <w:spacing w:before="100" w:beforeAutospacing="1" w:after="100" w:afterAutospacing="1" w:line="240" w:lineRule="auto"/>
        <w:ind w:right="0"/>
        <w:rPr>
          <w:color w:val="auto"/>
          <w:szCs w:val="24"/>
        </w:rPr>
      </w:pPr>
      <w:r w:rsidRPr="00351A1E">
        <w:rPr>
          <w:b/>
          <w:bCs/>
          <w:color w:val="auto"/>
          <w:szCs w:val="24"/>
        </w:rPr>
        <w:t>Data Handling and Access Control Log</w:t>
      </w:r>
    </w:p>
    <w:p w14:paraId="023F658F" w14:textId="77777777" w:rsidR="00351A1E" w:rsidRPr="00351A1E" w:rsidRDefault="00351A1E" w:rsidP="00FE1D19">
      <w:r w:rsidRPr="00351A1E">
        <w:t>To record user access permissions, encryption status, and any data-sharing events during project implementation.</w:t>
      </w:r>
    </w:p>
    <w:p w14:paraId="5527D891" w14:textId="77777777" w:rsidR="00351A1E" w:rsidRPr="00351A1E" w:rsidRDefault="00351A1E" w:rsidP="00351A1E">
      <w:pPr>
        <w:numPr>
          <w:ilvl w:val="0"/>
          <w:numId w:val="31"/>
        </w:numPr>
        <w:spacing w:before="100" w:beforeAutospacing="1" w:after="100" w:afterAutospacing="1" w:line="240" w:lineRule="auto"/>
        <w:ind w:right="0"/>
        <w:rPr>
          <w:color w:val="auto"/>
          <w:szCs w:val="24"/>
        </w:rPr>
      </w:pPr>
      <w:r w:rsidRPr="00351A1E">
        <w:rPr>
          <w:b/>
          <w:bCs/>
          <w:color w:val="auto"/>
          <w:szCs w:val="24"/>
        </w:rPr>
        <w:t>Compliance Monitoring Checklist</w:t>
      </w:r>
    </w:p>
    <w:p w14:paraId="74AC26AA" w14:textId="77777777" w:rsidR="00351A1E" w:rsidRPr="00351A1E" w:rsidRDefault="00351A1E" w:rsidP="00FE1D19">
      <w:r w:rsidRPr="00351A1E">
        <w:t>Used by DS&amp;AS and the Data Protection Officer (DPO) to assess ongoing compliance with data protection and ethical standards.</w:t>
      </w:r>
    </w:p>
    <w:p w14:paraId="0B543F7F" w14:textId="77777777" w:rsidR="00351A1E" w:rsidRPr="00351A1E" w:rsidRDefault="00351A1E" w:rsidP="00351A1E">
      <w:pPr>
        <w:numPr>
          <w:ilvl w:val="0"/>
          <w:numId w:val="31"/>
        </w:numPr>
        <w:spacing w:before="100" w:beforeAutospacing="1" w:after="100" w:afterAutospacing="1" w:line="240" w:lineRule="auto"/>
        <w:ind w:right="0"/>
        <w:rPr>
          <w:color w:val="auto"/>
          <w:szCs w:val="24"/>
        </w:rPr>
      </w:pPr>
      <w:r w:rsidRPr="00351A1E">
        <w:rPr>
          <w:b/>
          <w:bCs/>
          <w:color w:val="auto"/>
          <w:szCs w:val="24"/>
        </w:rPr>
        <w:t>Data Breach and Incident Report Form</w:t>
      </w:r>
    </w:p>
    <w:p w14:paraId="3A14A8CE" w14:textId="77777777" w:rsidR="00351A1E" w:rsidRPr="00351A1E" w:rsidRDefault="00351A1E" w:rsidP="00FE1D19">
      <w:r w:rsidRPr="00351A1E">
        <w:t>To document details of any data breach or incident, corrective actions taken, and communication with regulatory bodies (e.g., ODPC).</w:t>
      </w:r>
    </w:p>
    <w:p w14:paraId="459CAD1E" w14:textId="77777777" w:rsidR="00351A1E" w:rsidRPr="00351A1E" w:rsidRDefault="00351A1E" w:rsidP="00351A1E">
      <w:pPr>
        <w:numPr>
          <w:ilvl w:val="0"/>
          <w:numId w:val="31"/>
        </w:numPr>
        <w:spacing w:before="100" w:beforeAutospacing="1" w:after="100" w:afterAutospacing="1" w:line="240" w:lineRule="auto"/>
        <w:ind w:right="0"/>
        <w:rPr>
          <w:color w:val="auto"/>
          <w:szCs w:val="24"/>
        </w:rPr>
      </w:pPr>
      <w:r w:rsidRPr="00351A1E">
        <w:rPr>
          <w:b/>
          <w:bCs/>
          <w:color w:val="auto"/>
          <w:szCs w:val="24"/>
        </w:rPr>
        <w:t>Annual Compliance Audit Report Template</w:t>
      </w:r>
    </w:p>
    <w:p w14:paraId="26AA4047" w14:textId="77777777" w:rsidR="00351A1E" w:rsidRPr="00351A1E" w:rsidRDefault="00351A1E" w:rsidP="00FE1D19">
      <w:r w:rsidRPr="00351A1E">
        <w:t>To standardize reporting of annual audit findings, including risk assessment outcomes and recommendations.</w:t>
      </w:r>
    </w:p>
    <w:p w14:paraId="6C70983E" w14:textId="77777777" w:rsidR="00351A1E" w:rsidRPr="00351A1E" w:rsidRDefault="00351A1E" w:rsidP="00351A1E">
      <w:pPr>
        <w:numPr>
          <w:ilvl w:val="0"/>
          <w:numId w:val="31"/>
        </w:numPr>
        <w:spacing w:before="100" w:beforeAutospacing="1" w:after="100" w:afterAutospacing="1" w:line="240" w:lineRule="auto"/>
        <w:ind w:right="0"/>
        <w:rPr>
          <w:color w:val="auto"/>
          <w:szCs w:val="24"/>
        </w:rPr>
      </w:pPr>
      <w:r w:rsidRPr="00351A1E">
        <w:rPr>
          <w:b/>
          <w:bCs/>
          <w:color w:val="auto"/>
          <w:szCs w:val="24"/>
        </w:rPr>
        <w:t>Ad-Hoc Review Trigger Form</w:t>
      </w:r>
    </w:p>
    <w:p w14:paraId="368D620F" w14:textId="77777777" w:rsidR="00351A1E" w:rsidRPr="00351A1E" w:rsidRDefault="00351A1E" w:rsidP="00FE1D19">
      <w:r w:rsidRPr="00351A1E">
        <w:t>Used to initiate unscheduled reviews following regulatory updates, emerging risks, or internal audit findings.</w:t>
      </w:r>
    </w:p>
    <w:p w14:paraId="68F7A3B3" w14:textId="77777777" w:rsidR="00351A1E" w:rsidRPr="00351A1E" w:rsidRDefault="00351A1E" w:rsidP="00351A1E">
      <w:pPr>
        <w:numPr>
          <w:ilvl w:val="0"/>
          <w:numId w:val="31"/>
        </w:numPr>
        <w:spacing w:before="100" w:beforeAutospacing="1" w:after="100" w:afterAutospacing="1" w:line="240" w:lineRule="auto"/>
        <w:ind w:right="0"/>
        <w:rPr>
          <w:color w:val="auto"/>
          <w:szCs w:val="24"/>
        </w:rPr>
      </w:pPr>
      <w:r w:rsidRPr="00351A1E">
        <w:rPr>
          <w:b/>
          <w:bCs/>
          <w:color w:val="auto"/>
          <w:szCs w:val="24"/>
        </w:rPr>
        <w:t>Compliance Training Attendance Record</w:t>
      </w:r>
    </w:p>
    <w:p w14:paraId="7F500A73" w14:textId="77777777" w:rsidR="00351A1E" w:rsidRPr="00351A1E" w:rsidRDefault="00351A1E" w:rsidP="00FE1D19">
      <w:r w:rsidRPr="00351A1E">
        <w:t>To record participation of DS&amp;AS staff and researchers in compliance and data governance training sessions.</w:t>
      </w:r>
    </w:p>
    <w:p w14:paraId="3CADEAB8" w14:textId="77777777" w:rsidR="00351A1E" w:rsidRPr="00351A1E" w:rsidRDefault="00351A1E" w:rsidP="00351A1E">
      <w:pPr>
        <w:numPr>
          <w:ilvl w:val="0"/>
          <w:numId w:val="31"/>
        </w:numPr>
        <w:spacing w:before="100" w:beforeAutospacing="1" w:after="100" w:afterAutospacing="1" w:line="240" w:lineRule="auto"/>
        <w:ind w:right="0"/>
        <w:rPr>
          <w:color w:val="auto"/>
          <w:szCs w:val="24"/>
        </w:rPr>
      </w:pPr>
      <w:r w:rsidRPr="00351A1E">
        <w:rPr>
          <w:b/>
          <w:bCs/>
          <w:color w:val="auto"/>
          <w:szCs w:val="24"/>
        </w:rPr>
        <w:t>Compliance Reporting and Submission Form</w:t>
      </w:r>
    </w:p>
    <w:p w14:paraId="771261F1" w14:textId="77777777" w:rsidR="00351A1E" w:rsidRPr="00351A1E" w:rsidRDefault="00351A1E" w:rsidP="00FE1D19">
      <w:r w:rsidRPr="00351A1E">
        <w:t>For submission of final compliance reports to the Director of Research and Product Development and archiving in the institutional repository.</w:t>
      </w:r>
    </w:p>
    <w:p w14:paraId="2B4EDB42" w14:textId="1E872E50" w:rsidR="004214D4" w:rsidRPr="00E1792A" w:rsidRDefault="004214D4" w:rsidP="00DD69E2">
      <w:pPr>
        <w:spacing w:after="160" w:line="259" w:lineRule="auto"/>
        <w:ind w:left="0" w:right="0" w:firstLine="0"/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483838" w14:textId="77777777" w:rsidR="005F57F1" w:rsidRDefault="005F57F1">
      <w:pPr>
        <w:spacing w:after="0" w:line="240" w:lineRule="auto"/>
      </w:pPr>
      <w:r>
        <w:separator/>
      </w:r>
    </w:p>
  </w:endnote>
  <w:endnote w:type="continuationSeparator" w:id="0">
    <w:p w14:paraId="292A4B49" w14:textId="77777777" w:rsidR="005F57F1" w:rsidRDefault="005F5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10A5E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10A5E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95AFF" w14:textId="77777777" w:rsidR="005F57F1" w:rsidRDefault="005F57F1">
      <w:pPr>
        <w:spacing w:after="0" w:line="240" w:lineRule="auto"/>
      </w:pPr>
      <w:r>
        <w:separator/>
      </w:r>
    </w:p>
  </w:footnote>
  <w:footnote w:type="continuationSeparator" w:id="0">
    <w:p w14:paraId="568F8FAF" w14:textId="77777777" w:rsidR="005F57F1" w:rsidRDefault="005F5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754AD6"/>
    <w:multiLevelType w:val="multilevel"/>
    <w:tmpl w:val="686A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40552"/>
    <w:multiLevelType w:val="hybridMultilevel"/>
    <w:tmpl w:val="8C08A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6051E"/>
    <w:multiLevelType w:val="multilevel"/>
    <w:tmpl w:val="2052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84BA9"/>
    <w:multiLevelType w:val="multilevel"/>
    <w:tmpl w:val="C3B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94216"/>
    <w:multiLevelType w:val="hybridMultilevel"/>
    <w:tmpl w:val="71AC31A2"/>
    <w:lvl w:ilvl="0" w:tplc="C89A54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951E2"/>
    <w:multiLevelType w:val="hybridMultilevel"/>
    <w:tmpl w:val="0108F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281975"/>
    <w:multiLevelType w:val="hybridMultilevel"/>
    <w:tmpl w:val="AE4635C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200D5701"/>
    <w:multiLevelType w:val="multilevel"/>
    <w:tmpl w:val="2830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4A20EE"/>
    <w:multiLevelType w:val="hybridMultilevel"/>
    <w:tmpl w:val="E3DE614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259504D7"/>
    <w:multiLevelType w:val="hybridMultilevel"/>
    <w:tmpl w:val="A36C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E3D2B"/>
    <w:multiLevelType w:val="multilevel"/>
    <w:tmpl w:val="CA74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1C34E8C"/>
    <w:multiLevelType w:val="multilevel"/>
    <w:tmpl w:val="4026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BA4BCE"/>
    <w:multiLevelType w:val="hybridMultilevel"/>
    <w:tmpl w:val="BACE21B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38357F8B"/>
    <w:multiLevelType w:val="multilevel"/>
    <w:tmpl w:val="8508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B32799"/>
    <w:multiLevelType w:val="hybridMultilevel"/>
    <w:tmpl w:val="BA968576"/>
    <w:lvl w:ilvl="0" w:tplc="C89A545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B827EE1"/>
    <w:multiLevelType w:val="multilevel"/>
    <w:tmpl w:val="8A7A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614575"/>
    <w:multiLevelType w:val="multilevel"/>
    <w:tmpl w:val="9590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96F30CE"/>
    <w:multiLevelType w:val="hybridMultilevel"/>
    <w:tmpl w:val="3CDAE55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5AF64A90"/>
    <w:multiLevelType w:val="multilevel"/>
    <w:tmpl w:val="66D2E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BB50AA"/>
    <w:multiLevelType w:val="hybridMultilevel"/>
    <w:tmpl w:val="BBC2AA2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6D12F9"/>
    <w:multiLevelType w:val="hybridMultilevel"/>
    <w:tmpl w:val="33DE2508"/>
    <w:lvl w:ilvl="0" w:tplc="04090011">
      <w:start w:val="1"/>
      <w:numFmt w:val="decimal"/>
      <w:lvlText w:val="%1)"/>
      <w:lvlJc w:val="left"/>
      <w:pPr>
        <w:ind w:left="10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 w15:restartNumberingAfterBreak="0">
    <w:nsid w:val="68CF1CA1"/>
    <w:multiLevelType w:val="hybridMultilevel"/>
    <w:tmpl w:val="208AAD3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 w15:restartNumberingAfterBreak="0">
    <w:nsid w:val="6CBC3755"/>
    <w:multiLevelType w:val="multilevel"/>
    <w:tmpl w:val="ED72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3A5B9E"/>
    <w:multiLevelType w:val="hybridMultilevel"/>
    <w:tmpl w:val="0B983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2" w15:restartNumberingAfterBreak="0">
    <w:nsid w:val="753E2454"/>
    <w:multiLevelType w:val="multilevel"/>
    <w:tmpl w:val="DF82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4" w15:restartNumberingAfterBreak="0">
    <w:nsid w:val="783E21B7"/>
    <w:multiLevelType w:val="hybridMultilevel"/>
    <w:tmpl w:val="5D12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8F40C59"/>
    <w:multiLevelType w:val="multilevel"/>
    <w:tmpl w:val="E984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12"/>
  </w:num>
  <w:num w:numId="3">
    <w:abstractNumId w:val="12"/>
    <w:lvlOverride w:ilvl="0">
      <w:startOverride w:val="1"/>
    </w:lvlOverride>
    <w:lvlOverride w:ilvl="1">
      <w:startOverride w:val="2"/>
    </w:lvlOverride>
  </w:num>
  <w:num w:numId="4">
    <w:abstractNumId w:val="25"/>
  </w:num>
  <w:num w:numId="5">
    <w:abstractNumId w:val="33"/>
  </w:num>
  <w:num w:numId="6">
    <w:abstractNumId w:val="29"/>
  </w:num>
  <w:num w:numId="7">
    <w:abstractNumId w:val="12"/>
    <w:lvlOverride w:ilvl="0">
      <w:startOverride w:val="1"/>
    </w:lvlOverride>
  </w:num>
  <w:num w:numId="8">
    <w:abstractNumId w:val="20"/>
  </w:num>
  <w:num w:numId="9">
    <w:abstractNumId w:val="17"/>
  </w:num>
  <w:num w:numId="10">
    <w:abstractNumId w:val="24"/>
  </w:num>
  <w:num w:numId="11">
    <w:abstractNumId w:val="31"/>
  </w:num>
  <w:num w:numId="12">
    <w:abstractNumId w:val="36"/>
  </w:num>
  <w:num w:numId="13">
    <w:abstractNumId w:val="28"/>
  </w:num>
  <w:num w:numId="14">
    <w:abstractNumId w:val="15"/>
  </w:num>
  <w:num w:numId="15">
    <w:abstractNumId w:val="3"/>
  </w:num>
  <w:num w:numId="16">
    <w:abstractNumId w:val="4"/>
  </w:num>
  <w:num w:numId="17">
    <w:abstractNumId w:val="18"/>
  </w:num>
  <w:num w:numId="18">
    <w:abstractNumId w:val="19"/>
  </w:num>
  <w:num w:numId="19">
    <w:abstractNumId w:val="1"/>
  </w:num>
  <w:num w:numId="20">
    <w:abstractNumId w:val="13"/>
  </w:num>
  <w:num w:numId="21">
    <w:abstractNumId w:val="11"/>
  </w:num>
  <w:num w:numId="22">
    <w:abstractNumId w:val="10"/>
  </w:num>
  <w:num w:numId="23">
    <w:abstractNumId w:val="30"/>
  </w:num>
  <w:num w:numId="24">
    <w:abstractNumId w:val="2"/>
  </w:num>
  <w:num w:numId="25">
    <w:abstractNumId w:val="6"/>
  </w:num>
  <w:num w:numId="26">
    <w:abstractNumId w:val="32"/>
  </w:num>
  <w:num w:numId="27">
    <w:abstractNumId w:val="34"/>
  </w:num>
  <w:num w:numId="28">
    <w:abstractNumId w:val="5"/>
  </w:num>
  <w:num w:numId="29">
    <w:abstractNumId w:val="16"/>
  </w:num>
  <w:num w:numId="30">
    <w:abstractNumId w:val="22"/>
  </w:num>
  <w:num w:numId="31">
    <w:abstractNumId w:val="8"/>
  </w:num>
  <w:num w:numId="32">
    <w:abstractNumId w:val="23"/>
  </w:num>
  <w:num w:numId="33">
    <w:abstractNumId w:val="9"/>
  </w:num>
  <w:num w:numId="34">
    <w:abstractNumId w:val="7"/>
  </w:num>
  <w:num w:numId="35">
    <w:abstractNumId w:val="14"/>
  </w:num>
  <w:num w:numId="36">
    <w:abstractNumId w:val="21"/>
  </w:num>
  <w:num w:numId="37">
    <w:abstractNumId w:val="27"/>
  </w:num>
  <w:num w:numId="38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7"/>
  <w:drawingGridVerticalSpacing w:val="18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06C90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C1086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6AC9"/>
    <w:rsid w:val="0023794A"/>
    <w:rsid w:val="002435E5"/>
    <w:rsid w:val="002464AA"/>
    <w:rsid w:val="00264F83"/>
    <w:rsid w:val="002710FF"/>
    <w:rsid w:val="00274AD4"/>
    <w:rsid w:val="00277532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1A1E"/>
    <w:rsid w:val="00352B45"/>
    <w:rsid w:val="003714E1"/>
    <w:rsid w:val="00373327"/>
    <w:rsid w:val="003754BD"/>
    <w:rsid w:val="00380885"/>
    <w:rsid w:val="0038233C"/>
    <w:rsid w:val="00390470"/>
    <w:rsid w:val="00392EC2"/>
    <w:rsid w:val="0039643F"/>
    <w:rsid w:val="003C630C"/>
    <w:rsid w:val="003C7B18"/>
    <w:rsid w:val="003D1661"/>
    <w:rsid w:val="003E2261"/>
    <w:rsid w:val="003F193E"/>
    <w:rsid w:val="00404954"/>
    <w:rsid w:val="004214D4"/>
    <w:rsid w:val="00421C0A"/>
    <w:rsid w:val="00437031"/>
    <w:rsid w:val="004375F6"/>
    <w:rsid w:val="004378C3"/>
    <w:rsid w:val="00450562"/>
    <w:rsid w:val="0045405D"/>
    <w:rsid w:val="00456244"/>
    <w:rsid w:val="004619F2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5F57F1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10A5E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1F08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B50CC"/>
    <w:rsid w:val="009C0190"/>
    <w:rsid w:val="009C1272"/>
    <w:rsid w:val="009C3775"/>
    <w:rsid w:val="009C3A43"/>
    <w:rsid w:val="009C57EF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82E7F"/>
    <w:rsid w:val="00A85459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5C6"/>
    <w:rsid w:val="00B95DF5"/>
    <w:rsid w:val="00BA0085"/>
    <w:rsid w:val="00BA1ACA"/>
    <w:rsid w:val="00BB0B58"/>
    <w:rsid w:val="00BB623A"/>
    <w:rsid w:val="00BC1365"/>
    <w:rsid w:val="00BC2319"/>
    <w:rsid w:val="00BC24EE"/>
    <w:rsid w:val="00BC32B8"/>
    <w:rsid w:val="00BC623E"/>
    <w:rsid w:val="00BD04D5"/>
    <w:rsid w:val="00BD625C"/>
    <w:rsid w:val="00BE05C1"/>
    <w:rsid w:val="00BE3EAF"/>
    <w:rsid w:val="00BE4756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3379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3080"/>
    <w:rsid w:val="00D87860"/>
    <w:rsid w:val="00DA1432"/>
    <w:rsid w:val="00DA3146"/>
    <w:rsid w:val="00DA5759"/>
    <w:rsid w:val="00DB41E2"/>
    <w:rsid w:val="00DC2C67"/>
    <w:rsid w:val="00DC6541"/>
    <w:rsid w:val="00DD69E2"/>
    <w:rsid w:val="00DE2247"/>
    <w:rsid w:val="00DE22BA"/>
    <w:rsid w:val="00DF1944"/>
    <w:rsid w:val="00DF6DA2"/>
    <w:rsid w:val="00E0617E"/>
    <w:rsid w:val="00E073DC"/>
    <w:rsid w:val="00E11690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2097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0D4F"/>
    <w:rsid w:val="00F65A98"/>
    <w:rsid w:val="00F73729"/>
    <w:rsid w:val="00F761D8"/>
    <w:rsid w:val="00F869A2"/>
    <w:rsid w:val="00F96F5A"/>
    <w:rsid w:val="00FA0224"/>
    <w:rsid w:val="00FA4EF9"/>
    <w:rsid w:val="00FB0261"/>
    <w:rsid w:val="00FB3485"/>
    <w:rsid w:val="00FD50EF"/>
    <w:rsid w:val="00FD517B"/>
    <w:rsid w:val="00FD59C2"/>
    <w:rsid w:val="00FE1D19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8E393-FD77-4B88-A608-D450FA9A2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1409</Words>
  <Characters>8034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KEMRI/WHO</vt:lpstr>
      <vt:lpstr/>
      <vt:lpstr>PURPOSE</vt:lpstr>
      <vt:lpstr>SCOPE</vt:lpstr>
      <vt:lpstr>PERSONS RESPONSIBLE: </vt:lpstr>
      <vt:lpstr>FREQUENCY</vt:lpstr>
      <vt:lpstr>MATERIALS</vt:lpstr>
      <vt:lpstr>REFERENCES</vt:lpstr>
      <vt:lpstr>APPENDIX: COMPLIANCE AND DOCUMENTATION FORMS</vt:lpstr>
    </vt:vector>
  </TitlesOfParts>
  <Company>Deftones</Company>
  <LinksUpToDate>false</LinksUpToDate>
  <CharactersWithSpaces>9425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Patrick Mwaura</dc:creator>
  <cp:lastModifiedBy>Patrick Mwaura</cp:lastModifiedBy>
  <cp:revision>4</cp:revision>
  <cp:lastPrinted>2025-10-07T11:54:00Z</cp:lastPrinted>
  <dcterms:created xsi:type="dcterms:W3CDTF">2025-10-07T11:53:00Z</dcterms:created>
  <dcterms:modified xsi:type="dcterms:W3CDTF">2025-10-07T11:54:00Z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