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0B3D1C59" w:rsidR="008B5059" w:rsidRPr="00E1792A" w:rsidRDefault="0050560F" w:rsidP="00E1792A">
      <w:pPr>
        <w:spacing w:after="160" w:line="259" w:lineRule="auto"/>
        <w:ind w:left="0" w:right="0" w:firstLine="0"/>
        <w:jc w:val="center"/>
        <w:rPr>
          <w:b/>
          <w:color w:val="000000" w:themeColor="text1"/>
          <w:szCs w:val="24"/>
        </w:rPr>
      </w:pPr>
      <w:r w:rsidRPr="0050560F">
        <w:rPr>
          <w:b/>
          <w:color w:val="auto"/>
          <w:sz w:val="44"/>
          <w:szCs w:val="24"/>
        </w:rPr>
        <w:t>Study design and statistical c</w:t>
      </w:r>
      <w:r w:rsidR="00467C65" w:rsidRPr="0050560F">
        <w:rPr>
          <w:b/>
          <w:color w:val="auto"/>
          <w:sz w:val="44"/>
          <w:szCs w:val="24"/>
        </w:rPr>
        <w:t>onsultation</w:t>
      </w:r>
      <w:r w:rsidR="008B5059" w:rsidRPr="00E1792A">
        <w:rPr>
          <w:b/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4A18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C87E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4A18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C87E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4A18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C87E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4A18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C87E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4A18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C87E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4A18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C87E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4A18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t>PURPOSE</w:t>
      </w:r>
      <w:bookmarkEnd w:id="4"/>
    </w:p>
    <w:p w14:paraId="60BB1492" w14:textId="77777777" w:rsidR="004F4206" w:rsidRDefault="004F4206" w:rsidP="00684697">
      <w:bookmarkStart w:id="5" w:name="_Toc144316959"/>
      <w:r>
        <w:t xml:space="preserve">To ensure that all research studies supported by the Data Science and Analysis Support (DS&amp;AS) Unit </w:t>
      </w:r>
      <w:proofErr w:type="gramStart"/>
      <w:r>
        <w:t>are designed</w:t>
      </w:r>
      <w:proofErr w:type="gramEnd"/>
      <w:r>
        <w:t xml:space="preserve"> with sound statistical principles and align with the overarching policies and strategies outlined in </w:t>
      </w:r>
      <w:r w:rsidRPr="004F4206">
        <w:rPr>
          <w:b/>
        </w:rPr>
        <w:t>SOP 1</w:t>
      </w:r>
      <w:r>
        <w:t>.</w:t>
      </w:r>
    </w:p>
    <w:p w14:paraId="79DDF13D" w14:textId="0411094C" w:rsidR="004F4206" w:rsidRDefault="004F4206" w:rsidP="00684697">
      <w:r>
        <w:br/>
        <w:t xml:space="preserve">This SOP operationalizes those principles by providing structured guidance on developing rigorous study designs that meet ethical and regulatory requirements (as detailed in </w:t>
      </w:r>
      <w:r w:rsidRPr="004F4206">
        <w:rPr>
          <w:b/>
        </w:rPr>
        <w:t>SOP 2</w:t>
      </w:r>
      <w:r>
        <w:t>) while optimising efficiency, reproducibility, and scientific validity.</w:t>
      </w:r>
    </w:p>
    <w:p w14:paraId="43081447" w14:textId="77777777" w:rsidR="003F0654" w:rsidRDefault="00A430C0" w:rsidP="003F0654">
      <w:pPr>
        <w:pStyle w:val="Heading1"/>
      </w:pPr>
      <w:r w:rsidRPr="00E1792A">
        <w:t>SCOPE</w:t>
      </w:r>
      <w:bookmarkStart w:id="6" w:name="_Toc144203932"/>
      <w:bookmarkStart w:id="7" w:name="_Toc144316960"/>
      <w:bookmarkEnd w:id="5"/>
    </w:p>
    <w:p w14:paraId="350790BD" w14:textId="662ECE9E" w:rsidR="003F0654" w:rsidRDefault="003F0654" w:rsidP="00684697">
      <w:r w:rsidRPr="003F0654">
        <w:t>This SOP applies to all KIPRE researchers and collaborators seeking statistical consultation from the Data Science and Analysis Support (DS&amp;AS) Unit. It covers study design and statistical guidance for biomedical, ecological, primatological, and translational research projects, from initial concept development to protocol finalization.</w:t>
      </w:r>
    </w:p>
    <w:p w14:paraId="7E2B7F05" w14:textId="693F1413" w:rsidR="003F0654" w:rsidRDefault="003F0654" w:rsidP="003F0654">
      <w:pPr>
        <w:pStyle w:val="Heading1"/>
        <w:rPr>
          <w:color w:val="auto"/>
          <w:sz w:val="27"/>
        </w:rPr>
      </w:pPr>
      <w:bookmarkStart w:id="8" w:name="_Toc144203933"/>
      <w:bookmarkStart w:id="9" w:name="_Toc144316961"/>
      <w:bookmarkEnd w:id="6"/>
      <w:bookmarkEnd w:id="7"/>
      <w:r>
        <w:rPr>
          <w:rStyle w:val="Strong"/>
          <w:b/>
          <w:bCs w:val="0"/>
        </w:rPr>
        <w:t>PERSONS RESPONSIBLE</w:t>
      </w:r>
    </w:p>
    <w:p w14:paraId="4A8A6A6F" w14:textId="77777777" w:rsidR="003F0654" w:rsidRDefault="003F0654" w:rsidP="00684697">
      <w:pPr>
        <w:pStyle w:val="ListParagraph"/>
        <w:numPr>
          <w:ilvl w:val="0"/>
          <w:numId w:val="31"/>
        </w:numPr>
      </w:pPr>
      <w:r>
        <w:rPr>
          <w:rStyle w:val="Strong"/>
        </w:rPr>
        <w:t>Principal Investigator (PI):</w:t>
      </w:r>
      <w:r>
        <w:t xml:space="preserve"> Initiates statistical consultation by submitting the study concept, objectives, and draft protocol to DS&amp;AS.</w:t>
      </w:r>
    </w:p>
    <w:p w14:paraId="74BB1106" w14:textId="77777777" w:rsidR="003F0654" w:rsidRDefault="003F0654" w:rsidP="00684697">
      <w:pPr>
        <w:pStyle w:val="ListParagraph"/>
        <w:numPr>
          <w:ilvl w:val="0"/>
          <w:numId w:val="31"/>
        </w:numPr>
      </w:pPr>
      <w:r>
        <w:rPr>
          <w:rStyle w:val="Strong"/>
        </w:rPr>
        <w:t>DS&amp;AS Biostatistician/Statistician:</w:t>
      </w:r>
      <w:r>
        <w:t xml:space="preserve"> Provides methodological guidance on study design, sampling, data collection, and analysis strategies.</w:t>
      </w:r>
    </w:p>
    <w:p w14:paraId="7C95D97E" w14:textId="77777777" w:rsidR="003F0654" w:rsidRDefault="003F0654" w:rsidP="00684697">
      <w:pPr>
        <w:pStyle w:val="ListParagraph"/>
        <w:numPr>
          <w:ilvl w:val="0"/>
          <w:numId w:val="31"/>
        </w:numPr>
      </w:pPr>
      <w:r>
        <w:rPr>
          <w:rStyle w:val="Strong"/>
        </w:rPr>
        <w:t>Head of DS&amp;AS:</w:t>
      </w:r>
      <w:r>
        <w:t xml:space="preserve"> Reviews and approves the final study design recommendations and ensures alignment with institutional and regulatory requirements.</w:t>
      </w:r>
    </w:p>
    <w:p w14:paraId="65B4EEEE" w14:textId="1BC5B3AE" w:rsidR="003F0654" w:rsidRDefault="003F0654" w:rsidP="00684697">
      <w:pPr>
        <w:pStyle w:val="ListParagraph"/>
        <w:numPr>
          <w:ilvl w:val="0"/>
          <w:numId w:val="31"/>
        </w:numPr>
      </w:pPr>
      <w:r>
        <w:rPr>
          <w:rStyle w:val="Strong"/>
        </w:rPr>
        <w:t>Ethics Committee/IRB:</w:t>
      </w:r>
      <w:r>
        <w:t xml:space="preserve"> Evaluates the scientific validity and ethical soundness of the proposed study design before approval.</w:t>
      </w:r>
    </w:p>
    <w:p w14:paraId="3E1A1CA5" w14:textId="16372262" w:rsidR="003F0654" w:rsidRPr="003F0654" w:rsidRDefault="00A430C0" w:rsidP="003F0654">
      <w:pPr>
        <w:pStyle w:val="Heading1"/>
        <w:rPr>
          <w:rStyle w:val="Strong"/>
          <w:b/>
          <w:bCs w:val="0"/>
        </w:rPr>
      </w:pPr>
      <w:r w:rsidRPr="00E1792A">
        <w:t>FREQUENCY</w:t>
      </w:r>
      <w:bookmarkEnd w:id="8"/>
      <w:bookmarkEnd w:id="9"/>
    </w:p>
    <w:p w14:paraId="08A97AB7" w14:textId="6E78FD7E" w:rsidR="003F0654" w:rsidRDefault="003F0654" w:rsidP="00684697">
      <w:pPr>
        <w:pStyle w:val="ListParagraph"/>
        <w:numPr>
          <w:ilvl w:val="0"/>
          <w:numId w:val="32"/>
        </w:numPr>
      </w:pPr>
      <w:r>
        <w:rPr>
          <w:rStyle w:val="Strong"/>
        </w:rPr>
        <w:t>Before study initiation:</w:t>
      </w:r>
      <w:r>
        <w:t xml:space="preserve"> Mandatory statistical consultation for all new projects prior to ethical approval and data collection.</w:t>
      </w:r>
    </w:p>
    <w:p w14:paraId="189AD91B" w14:textId="77777777" w:rsidR="003F0654" w:rsidRDefault="003F0654" w:rsidP="00684697">
      <w:pPr>
        <w:pStyle w:val="ListParagraph"/>
        <w:numPr>
          <w:ilvl w:val="0"/>
          <w:numId w:val="32"/>
        </w:numPr>
      </w:pPr>
      <w:r>
        <w:rPr>
          <w:rStyle w:val="Strong"/>
        </w:rPr>
        <w:t>Mid-study (as needed):</w:t>
      </w:r>
      <w:r>
        <w:t xml:space="preserve"> Additional consultations required when protocol amendments, sample size adjustments, or major analytical changes are proposed.</w:t>
      </w:r>
    </w:p>
    <w:p w14:paraId="794AC7C4" w14:textId="6FCE8445" w:rsidR="003F0654" w:rsidRPr="00684697" w:rsidRDefault="003F0654" w:rsidP="00684697">
      <w:pPr>
        <w:pStyle w:val="ListParagraph"/>
        <w:numPr>
          <w:ilvl w:val="0"/>
          <w:numId w:val="32"/>
        </w:numPr>
        <w:rPr>
          <w:rStyle w:val="Strong"/>
          <w:b w:val="0"/>
          <w:bCs w:val="0"/>
        </w:rPr>
      </w:pPr>
      <w:r>
        <w:rPr>
          <w:rStyle w:val="Strong"/>
        </w:rPr>
        <w:t>Post-study (optional):</w:t>
      </w:r>
      <w:r>
        <w:t xml:space="preserve"> Consultation </w:t>
      </w:r>
      <w:proofErr w:type="gramStart"/>
      <w:r>
        <w:t>may be sought</w:t>
      </w:r>
      <w:proofErr w:type="gramEnd"/>
      <w:r>
        <w:t xml:space="preserve"> during result interpretation or manuscript preparation to ensure statistical accuracy and reproducibility.</w:t>
      </w:r>
    </w:p>
    <w:p w14:paraId="147A56C9" w14:textId="34869643" w:rsidR="00EF6627" w:rsidRDefault="00EF6627" w:rsidP="00EF6627">
      <w:pPr>
        <w:pStyle w:val="Heading1"/>
      </w:pPr>
      <w:bookmarkStart w:id="10" w:name="_Toc144316962"/>
      <w:r>
        <w:t>MATERIALS</w:t>
      </w:r>
      <w:bookmarkEnd w:id="10"/>
    </w:p>
    <w:p w14:paraId="74A17EB3" w14:textId="77777777" w:rsidR="00C94653" w:rsidRDefault="00C94653" w:rsidP="00684697">
      <w:pPr>
        <w:pStyle w:val="ListParagraph"/>
        <w:numPr>
          <w:ilvl w:val="0"/>
          <w:numId w:val="33"/>
        </w:numPr>
      </w:pPr>
      <w:r>
        <w:t>Standard research protocol template.</w:t>
      </w:r>
    </w:p>
    <w:p w14:paraId="75C914B8" w14:textId="77777777" w:rsidR="00C94653" w:rsidRDefault="00C94653" w:rsidP="00684697">
      <w:pPr>
        <w:pStyle w:val="ListParagraph"/>
        <w:numPr>
          <w:ilvl w:val="0"/>
          <w:numId w:val="33"/>
        </w:numPr>
      </w:pPr>
      <w:r>
        <w:t>Sample size and power calculation tools (e.g., R, SAS).</w:t>
      </w:r>
    </w:p>
    <w:p w14:paraId="02CFCB7D" w14:textId="77777777" w:rsidR="00C94653" w:rsidRDefault="00C94653" w:rsidP="00684697">
      <w:pPr>
        <w:pStyle w:val="ListParagraph"/>
        <w:numPr>
          <w:ilvl w:val="0"/>
          <w:numId w:val="33"/>
        </w:numPr>
      </w:pPr>
      <w:r>
        <w:t>Ethical approval and regulatory guidelines (IRB/NACOSTI).</w:t>
      </w:r>
    </w:p>
    <w:p w14:paraId="72875B44" w14:textId="77777777" w:rsidR="00C94653" w:rsidRDefault="00C94653" w:rsidP="00684697">
      <w:pPr>
        <w:pStyle w:val="ListParagraph"/>
        <w:numPr>
          <w:ilvl w:val="0"/>
          <w:numId w:val="33"/>
        </w:numPr>
      </w:pPr>
      <w:r>
        <w:t>DS&amp;AS Statistical Consultation Request Form.</w:t>
      </w:r>
    </w:p>
    <w:p w14:paraId="7EE10712" w14:textId="4DC52874" w:rsidR="00C94653" w:rsidRPr="00BD41B3" w:rsidRDefault="00C94653" w:rsidP="00684697">
      <w:pPr>
        <w:pStyle w:val="ListParagraph"/>
        <w:numPr>
          <w:ilvl w:val="0"/>
          <w:numId w:val="33"/>
        </w:numPr>
      </w:pPr>
      <w:r>
        <w:t>Relevant institutional and project-specific data management policies.</w:t>
      </w:r>
    </w:p>
    <w:p w14:paraId="5DA3612C" w14:textId="50717F7A" w:rsidR="00BE6611" w:rsidRDefault="00A430C0" w:rsidP="002435E5">
      <w:pPr>
        <w:pStyle w:val="Heading1"/>
      </w:pPr>
      <w:bookmarkStart w:id="11" w:name="_Toc144203934"/>
      <w:bookmarkStart w:id="12" w:name="_Toc144316963"/>
      <w:r w:rsidRPr="00E1792A">
        <w:t>PROCEDURE</w:t>
      </w:r>
      <w:bookmarkEnd w:id="11"/>
      <w:bookmarkEnd w:id="12"/>
    </w:p>
    <w:p w14:paraId="738D38D7" w14:textId="77777777" w:rsidR="00EA572C" w:rsidRPr="00684697" w:rsidRDefault="00EA572C" w:rsidP="00684697">
      <w:pPr>
        <w:spacing w:before="240"/>
        <w:ind w:left="851" w:hanging="435"/>
      </w:pPr>
      <w:bookmarkStart w:id="13" w:name="_Toc144316964"/>
      <w:r>
        <w:rPr>
          <w:rStyle w:val="Strong"/>
        </w:rPr>
        <w:t>Step 1: Request Submission</w:t>
      </w:r>
      <w:r>
        <w:br/>
      </w:r>
      <w:r w:rsidRPr="00684697">
        <w:t>• The Principal Investigator (PI) submits a study concept note or draft protocol to DS&amp;AS using the Statistical Consultation Request Form.</w:t>
      </w:r>
    </w:p>
    <w:p w14:paraId="0BCA93C2" w14:textId="77777777" w:rsidR="00EA572C" w:rsidRDefault="00EA572C" w:rsidP="00684697">
      <w:pPr>
        <w:spacing w:before="240"/>
        <w:ind w:left="851" w:hanging="435"/>
      </w:pPr>
      <w:r>
        <w:rPr>
          <w:rStyle w:val="Strong"/>
        </w:rPr>
        <w:t>Step 2: Preliminary Review</w:t>
      </w:r>
      <w:r>
        <w:br/>
        <w:t>• DS&amp;AS assigns a qualified Biostatistician/Statistician to review the study objectives, hypotheses, and proposed methodology.</w:t>
      </w:r>
      <w:r>
        <w:br/>
        <w:t xml:space="preserve">• Any missing information or unclear sections </w:t>
      </w:r>
      <w:proofErr w:type="gramStart"/>
      <w:r>
        <w:t>are communicated</w:t>
      </w:r>
      <w:proofErr w:type="gramEnd"/>
      <w:r>
        <w:t xml:space="preserve"> to the PI for clarification.</w:t>
      </w:r>
    </w:p>
    <w:p w14:paraId="7593327E" w14:textId="77777777" w:rsidR="00EA572C" w:rsidRDefault="00EA572C" w:rsidP="00684697">
      <w:pPr>
        <w:spacing w:before="240"/>
        <w:ind w:left="851" w:hanging="435"/>
      </w:pPr>
      <w:r>
        <w:rPr>
          <w:rStyle w:val="Strong"/>
        </w:rPr>
        <w:t>Step 3: Consultation Meeting</w:t>
      </w:r>
      <w:r>
        <w:br/>
        <w:t xml:space="preserve">• A consultation session </w:t>
      </w:r>
      <w:proofErr w:type="gramStart"/>
      <w:r>
        <w:t>is held</w:t>
      </w:r>
      <w:proofErr w:type="gramEnd"/>
      <w:r>
        <w:t xml:space="preserve"> between the PI and the assigned biostatistician to discuss study objectives, design options, sampling strategies, and appropriate statistical methods.</w:t>
      </w:r>
      <w:r>
        <w:br/>
        <w:t xml:space="preserve">• Ethical and regulatory considerations (as per SOP 2) </w:t>
      </w:r>
      <w:proofErr w:type="gramStart"/>
      <w:r>
        <w:t>are reviewed</w:t>
      </w:r>
      <w:proofErr w:type="gramEnd"/>
      <w:r>
        <w:t xml:space="preserve"> during the meeting.</w:t>
      </w:r>
    </w:p>
    <w:p w14:paraId="2B0514BE" w14:textId="77777777" w:rsidR="00EA572C" w:rsidRDefault="00EA572C" w:rsidP="00684697">
      <w:pPr>
        <w:spacing w:before="240"/>
        <w:ind w:left="851" w:hanging="435"/>
      </w:pPr>
      <w:r>
        <w:rPr>
          <w:rStyle w:val="Strong"/>
        </w:rPr>
        <w:t>Step 4: Design Specification and Recommendations</w:t>
      </w:r>
      <w:r>
        <w:br/>
        <w:t>• The Biostatistician prepares written recommendations outlining the final study design, sample size justification, analytical plan, and any simulation requirements.</w:t>
      </w:r>
    </w:p>
    <w:p w14:paraId="7CF9985C" w14:textId="77777777" w:rsidR="00EA572C" w:rsidRDefault="00EA572C" w:rsidP="00684697">
      <w:pPr>
        <w:spacing w:before="240"/>
        <w:ind w:left="851" w:hanging="435"/>
      </w:pPr>
      <w:r>
        <w:rPr>
          <w:rStyle w:val="Strong"/>
        </w:rPr>
        <w:t>Step 5: Review and Approval</w:t>
      </w:r>
      <w:r>
        <w:br/>
        <w:t>• The Head of DS&amp;AS reviews the design recommendations for scientific rigor and compliance with institutional and national standards before sign-off.</w:t>
      </w:r>
      <w:r>
        <w:br/>
        <w:t>• The approved design forms part of the official study protocol submitted to the IRB/NACOSTI.</w:t>
      </w:r>
    </w:p>
    <w:p w14:paraId="3659BAB1" w14:textId="482613A7" w:rsidR="00AD046B" w:rsidRDefault="00EA572C" w:rsidP="00684697">
      <w:pPr>
        <w:spacing w:before="240"/>
        <w:ind w:left="851" w:hanging="435"/>
      </w:pPr>
      <w:r>
        <w:rPr>
          <w:rStyle w:val="Strong"/>
        </w:rPr>
        <w:t>Step 6: Archiving and Documentation</w:t>
      </w:r>
      <w:r>
        <w:br/>
        <w:t xml:space="preserve">• All consultation notes, communications, and final design recommendations </w:t>
      </w:r>
      <w:proofErr w:type="gramStart"/>
      <w:r>
        <w:t>are archived</w:t>
      </w:r>
      <w:proofErr w:type="gramEnd"/>
      <w:r>
        <w:t xml:space="preserve"> in the DS&amp;AS project repository.</w:t>
      </w:r>
      <w:r>
        <w:br/>
        <w:t xml:space="preserve">• Records </w:t>
      </w:r>
      <w:proofErr w:type="gramStart"/>
      <w:r>
        <w:t>are maintained</w:t>
      </w:r>
      <w:proofErr w:type="gramEnd"/>
      <w:r>
        <w:t xml:space="preserve"> in accordance with institutional data governance policies for traceability and future reference.</w:t>
      </w: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r w:rsidRPr="00E1792A">
        <w:rPr>
          <w:szCs w:val="24"/>
        </w:rPr>
        <w:t>REFERENCES</w:t>
      </w:r>
      <w:bookmarkEnd w:id="13"/>
    </w:p>
    <w:p w14:paraId="45584489" w14:textId="2E39AF99" w:rsidR="005F75D1" w:rsidRPr="00BD41B3" w:rsidRDefault="002435E5" w:rsidP="00BD41B3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bookmarkEnd w:id="3"/>
    </w:p>
    <w:p w14:paraId="7B931BCC" w14:textId="77777777" w:rsidR="00AD046B" w:rsidRPr="00684697" w:rsidRDefault="00AD046B" w:rsidP="00684697">
      <w:pPr>
        <w:pStyle w:val="ListParagraph"/>
        <w:numPr>
          <w:ilvl w:val="0"/>
          <w:numId w:val="34"/>
        </w:numPr>
        <w:rPr>
          <w:szCs w:val="24"/>
        </w:rPr>
      </w:pPr>
      <w:r>
        <w:t>KIPRE Strategic Plan (2023–2027)</w:t>
      </w:r>
    </w:p>
    <w:p w14:paraId="143F3889" w14:textId="77777777" w:rsidR="00AD046B" w:rsidRPr="00684697" w:rsidRDefault="00AD046B" w:rsidP="00684697">
      <w:pPr>
        <w:pStyle w:val="ListParagraph"/>
        <w:numPr>
          <w:ilvl w:val="0"/>
          <w:numId w:val="34"/>
        </w:numPr>
        <w:rPr>
          <w:szCs w:val="24"/>
        </w:rPr>
      </w:pPr>
      <w:r>
        <w:t>DS&amp;AS Policy and Strategy Framework (SOP 1)</w:t>
      </w:r>
    </w:p>
    <w:p w14:paraId="3E45173C" w14:textId="77777777" w:rsidR="00AD046B" w:rsidRPr="00684697" w:rsidRDefault="00AD046B" w:rsidP="00684697">
      <w:pPr>
        <w:pStyle w:val="ListParagraph"/>
        <w:numPr>
          <w:ilvl w:val="0"/>
          <w:numId w:val="34"/>
        </w:numPr>
        <w:rPr>
          <w:szCs w:val="24"/>
        </w:rPr>
      </w:pPr>
      <w:r>
        <w:t>SOP 2 – Alignment of DS&amp;AS Processes with Institutional and National Regulations</w:t>
      </w:r>
    </w:p>
    <w:p w14:paraId="1D27983D" w14:textId="77777777" w:rsidR="00AD046B" w:rsidRPr="00684697" w:rsidRDefault="00AD046B" w:rsidP="00684697">
      <w:pPr>
        <w:pStyle w:val="ListParagraph"/>
        <w:numPr>
          <w:ilvl w:val="0"/>
          <w:numId w:val="34"/>
        </w:numPr>
        <w:rPr>
          <w:szCs w:val="24"/>
        </w:rPr>
      </w:pPr>
      <w:r>
        <w:t>Kenya Data Protection Act (2019)</w:t>
      </w:r>
    </w:p>
    <w:p w14:paraId="326C02AA" w14:textId="77777777" w:rsidR="00AD046B" w:rsidRPr="00684697" w:rsidRDefault="00AD046B" w:rsidP="00684697">
      <w:pPr>
        <w:pStyle w:val="ListParagraph"/>
        <w:numPr>
          <w:ilvl w:val="0"/>
          <w:numId w:val="34"/>
        </w:numPr>
        <w:rPr>
          <w:szCs w:val="24"/>
        </w:rPr>
      </w:pPr>
      <w:r>
        <w:t>National Commission for Science, Technology and Innovation (NACOSTI) Research Guidelines</w:t>
      </w:r>
    </w:p>
    <w:p w14:paraId="40B7CDAF" w14:textId="77777777" w:rsidR="00AD046B" w:rsidRPr="00684697" w:rsidRDefault="00AD046B" w:rsidP="00684697">
      <w:pPr>
        <w:pStyle w:val="ListParagraph"/>
        <w:numPr>
          <w:ilvl w:val="0"/>
          <w:numId w:val="34"/>
        </w:numPr>
        <w:rPr>
          <w:szCs w:val="24"/>
        </w:rPr>
      </w:pPr>
      <w:r>
        <w:t>Institutional Review Board (IRB) Ethical Review Framework</w:t>
      </w:r>
    </w:p>
    <w:p w14:paraId="3A6CB5F9" w14:textId="77777777" w:rsidR="00AD046B" w:rsidRPr="00684697" w:rsidRDefault="00AD046B" w:rsidP="00684697">
      <w:pPr>
        <w:pStyle w:val="ListParagraph"/>
        <w:numPr>
          <w:ilvl w:val="0"/>
          <w:numId w:val="34"/>
        </w:numPr>
        <w:rPr>
          <w:szCs w:val="24"/>
        </w:rPr>
      </w:pPr>
      <w:r>
        <w:t>FAIR Data Principles (Findable, Accessible, Interoperable, Reusable)</w:t>
      </w:r>
    </w:p>
    <w:p w14:paraId="6CEDAA75" w14:textId="77777777" w:rsidR="00AD046B" w:rsidRPr="00684697" w:rsidRDefault="00AD046B" w:rsidP="00684697">
      <w:pPr>
        <w:pStyle w:val="ListParagraph"/>
        <w:numPr>
          <w:ilvl w:val="0"/>
          <w:numId w:val="34"/>
        </w:numPr>
        <w:rPr>
          <w:szCs w:val="24"/>
        </w:rPr>
      </w:pPr>
      <w:r>
        <w:t>World Health Organization (WHO) and Council for International Organizations of Medical Sciences (CIOMS) International Ethical Guidelines for Health-Related Research (2016)</w:t>
      </w:r>
    </w:p>
    <w:p w14:paraId="3ABC3049" w14:textId="5685CA4C" w:rsidR="00AD046B" w:rsidRPr="00684697" w:rsidRDefault="00AD046B" w:rsidP="00684697">
      <w:pPr>
        <w:pStyle w:val="ListParagraph"/>
        <w:numPr>
          <w:ilvl w:val="0"/>
          <w:numId w:val="34"/>
        </w:numPr>
        <w:rPr>
          <w:szCs w:val="24"/>
        </w:rPr>
      </w:pPr>
      <w:r>
        <w:t>International Council for Harmonization (ICH) E6(R3) – Good Clinical Practice (GCP) Guidelines</w:t>
      </w:r>
    </w:p>
    <w:p w14:paraId="4DC013C7" w14:textId="77777777" w:rsidR="00AD046B" w:rsidRPr="00AD046B" w:rsidRDefault="00AD046B" w:rsidP="00AD046B">
      <w:pPr>
        <w:pStyle w:val="ListParagraph"/>
        <w:spacing w:after="160" w:line="259" w:lineRule="auto"/>
        <w:ind w:right="0" w:firstLine="0"/>
        <w:rPr>
          <w:szCs w:val="24"/>
        </w:rPr>
      </w:pPr>
    </w:p>
    <w:p w14:paraId="60953796" w14:textId="319CB584" w:rsidR="00AD046B" w:rsidRPr="00E1792A" w:rsidRDefault="00AD046B" w:rsidP="00684697">
      <w:pPr>
        <w:rPr>
          <w:szCs w:val="24"/>
        </w:rPr>
      </w:pPr>
      <w:bookmarkStart w:id="14" w:name="_GoBack"/>
      <w:r>
        <w:rPr>
          <w:rStyle w:val="Strong"/>
        </w:rPr>
        <w:t>Appendix 1:</w:t>
      </w:r>
      <w:r>
        <w:t xml:space="preserve"> DS&amp;AS Statistical Consultation Request Form</w:t>
      </w:r>
      <w:r>
        <w:br/>
      </w:r>
      <w:r>
        <w:rPr>
          <w:rStyle w:val="Strong"/>
        </w:rPr>
        <w:t>Appendix 2:</w:t>
      </w:r>
      <w:r>
        <w:t xml:space="preserve"> Study Design Review and Approval Template</w:t>
      </w:r>
      <w:r>
        <w:br/>
      </w:r>
      <w:r>
        <w:rPr>
          <w:rStyle w:val="Strong"/>
        </w:rPr>
        <w:t>Appendix 3:</w:t>
      </w:r>
      <w:r>
        <w:t xml:space="preserve"> Sample Size and Power Calculation Record Sheet</w:t>
      </w:r>
      <w:r>
        <w:br/>
      </w:r>
      <w:r>
        <w:rPr>
          <w:rStyle w:val="Strong"/>
        </w:rPr>
        <w:t>Appendix 4:</w:t>
      </w:r>
      <w:r>
        <w:t xml:space="preserve"> Consultation Summary and Recommendation Report Template</w:t>
      </w:r>
      <w:r>
        <w:br/>
      </w:r>
      <w:r>
        <w:rPr>
          <w:rStyle w:val="Strong"/>
        </w:rPr>
        <w:t>Appendix 5:</w:t>
      </w:r>
      <w:r>
        <w:t xml:space="preserve"> DS&amp;AS Project Repository Archiving Checklist</w:t>
      </w:r>
      <w:bookmarkEnd w:id="14"/>
    </w:p>
    <w:sectPr w:rsidR="00AD046B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52A8F" w14:textId="77777777" w:rsidR="00C87E49" w:rsidRDefault="00C87E49">
      <w:pPr>
        <w:spacing w:after="0" w:line="240" w:lineRule="auto"/>
      </w:pPr>
      <w:r>
        <w:separator/>
      </w:r>
    </w:p>
  </w:endnote>
  <w:endnote w:type="continuationSeparator" w:id="0">
    <w:p w14:paraId="68007881" w14:textId="77777777" w:rsidR="00C87E49" w:rsidRDefault="00C87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B4A1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B4A1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CF710" w14:textId="77777777" w:rsidR="00C87E49" w:rsidRDefault="00C87E49">
      <w:pPr>
        <w:spacing w:after="0" w:line="240" w:lineRule="auto"/>
      </w:pPr>
      <w:r>
        <w:separator/>
      </w:r>
    </w:p>
  </w:footnote>
  <w:footnote w:type="continuationSeparator" w:id="0">
    <w:p w14:paraId="2D16F0B2" w14:textId="77777777" w:rsidR="00C87E49" w:rsidRDefault="00C87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F75A4D"/>
    <w:multiLevelType w:val="multilevel"/>
    <w:tmpl w:val="F7BA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B6C4C"/>
    <w:multiLevelType w:val="multilevel"/>
    <w:tmpl w:val="B78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E6C91"/>
    <w:multiLevelType w:val="multilevel"/>
    <w:tmpl w:val="A9DE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D14DB"/>
    <w:multiLevelType w:val="multilevel"/>
    <w:tmpl w:val="7D54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96391"/>
    <w:multiLevelType w:val="hybridMultilevel"/>
    <w:tmpl w:val="EEAA9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646612"/>
    <w:multiLevelType w:val="multilevel"/>
    <w:tmpl w:val="277A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A3951"/>
    <w:multiLevelType w:val="multilevel"/>
    <w:tmpl w:val="11F6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84544"/>
    <w:multiLevelType w:val="hybridMultilevel"/>
    <w:tmpl w:val="297AA57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574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4514FED"/>
    <w:multiLevelType w:val="hybridMultilevel"/>
    <w:tmpl w:val="09EC1BA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38D627C8"/>
    <w:multiLevelType w:val="hybridMultilevel"/>
    <w:tmpl w:val="BACA599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3A2972E0"/>
    <w:multiLevelType w:val="multilevel"/>
    <w:tmpl w:val="953E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EF7DBA"/>
    <w:multiLevelType w:val="hybridMultilevel"/>
    <w:tmpl w:val="490A5D02"/>
    <w:lvl w:ilvl="0" w:tplc="C89A545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035345"/>
    <w:multiLevelType w:val="hybridMultilevel"/>
    <w:tmpl w:val="818EBFC2"/>
    <w:lvl w:ilvl="0" w:tplc="C89A54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E721D0"/>
    <w:multiLevelType w:val="hybridMultilevel"/>
    <w:tmpl w:val="ADB45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71EC2"/>
    <w:multiLevelType w:val="hybridMultilevel"/>
    <w:tmpl w:val="6714E55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8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8434E23"/>
    <w:multiLevelType w:val="multilevel"/>
    <w:tmpl w:val="C7F2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2E09F5"/>
    <w:multiLevelType w:val="hybridMultilevel"/>
    <w:tmpl w:val="5F66238C"/>
    <w:lvl w:ilvl="0" w:tplc="C89A5456">
      <w:numFmt w:val="bullet"/>
      <w:lvlText w:val="•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FC394E"/>
    <w:multiLevelType w:val="multilevel"/>
    <w:tmpl w:val="3C22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D81E8D"/>
    <w:multiLevelType w:val="hybridMultilevel"/>
    <w:tmpl w:val="706A00CA"/>
    <w:lvl w:ilvl="0" w:tplc="C89A545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F673B4"/>
    <w:multiLevelType w:val="hybridMultilevel"/>
    <w:tmpl w:val="0674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8" w15:restartNumberingAfterBreak="0">
    <w:nsid w:val="772F083D"/>
    <w:multiLevelType w:val="multilevel"/>
    <w:tmpl w:val="9F28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775434E6"/>
    <w:multiLevelType w:val="multilevel"/>
    <w:tmpl w:val="4B2A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9131769"/>
    <w:multiLevelType w:val="multilevel"/>
    <w:tmpl w:val="B25E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2"/>
    </w:lvlOverride>
  </w:num>
  <w:num w:numId="4">
    <w:abstractNumId w:val="22"/>
  </w:num>
  <w:num w:numId="5">
    <w:abstractNumId w:val="29"/>
  </w:num>
  <w:num w:numId="6">
    <w:abstractNumId w:val="25"/>
  </w:num>
  <w:num w:numId="7">
    <w:abstractNumId w:val="9"/>
    <w:lvlOverride w:ilvl="0">
      <w:startOverride w:val="1"/>
    </w:lvlOverride>
  </w:num>
  <w:num w:numId="8">
    <w:abstractNumId w:val="18"/>
  </w:num>
  <w:num w:numId="9">
    <w:abstractNumId w:val="15"/>
  </w:num>
  <w:num w:numId="10">
    <w:abstractNumId w:val="21"/>
  </w:num>
  <w:num w:numId="11">
    <w:abstractNumId w:val="27"/>
  </w:num>
  <w:num w:numId="12">
    <w:abstractNumId w:val="32"/>
  </w:num>
  <w:num w:numId="13">
    <w:abstractNumId w:val="19"/>
  </w:num>
  <w:num w:numId="14">
    <w:abstractNumId w:val="23"/>
  </w:num>
  <w:num w:numId="15">
    <w:abstractNumId w:val="12"/>
  </w:num>
  <w:num w:numId="16">
    <w:abstractNumId w:val="4"/>
  </w:num>
  <w:num w:numId="17">
    <w:abstractNumId w:val="28"/>
  </w:num>
  <w:num w:numId="18">
    <w:abstractNumId w:val="7"/>
  </w:num>
  <w:num w:numId="19">
    <w:abstractNumId w:val="1"/>
  </w:num>
  <w:num w:numId="20">
    <w:abstractNumId w:val="2"/>
  </w:num>
  <w:num w:numId="21">
    <w:abstractNumId w:val="3"/>
  </w:num>
  <w:num w:numId="22">
    <w:abstractNumId w:val="30"/>
  </w:num>
  <w:num w:numId="23">
    <w:abstractNumId w:val="6"/>
  </w:num>
  <w:num w:numId="24">
    <w:abstractNumId w:val="26"/>
  </w:num>
  <w:num w:numId="25">
    <w:abstractNumId w:val="14"/>
  </w:num>
  <w:num w:numId="26">
    <w:abstractNumId w:val="24"/>
  </w:num>
  <w:num w:numId="27">
    <w:abstractNumId w:val="13"/>
  </w:num>
  <w:num w:numId="28">
    <w:abstractNumId w:val="20"/>
  </w:num>
  <w:num w:numId="29">
    <w:abstractNumId w:val="5"/>
  </w:num>
  <w:num w:numId="30">
    <w:abstractNumId w:val="16"/>
  </w:num>
  <w:num w:numId="31">
    <w:abstractNumId w:val="11"/>
  </w:num>
  <w:num w:numId="32">
    <w:abstractNumId w:val="10"/>
  </w:num>
  <w:num w:numId="33">
    <w:abstractNumId w:val="8"/>
  </w:num>
  <w:num w:numId="34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74A89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B742B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2F4592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E3ED7"/>
    <w:rsid w:val="003F0654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67C65"/>
    <w:rsid w:val="004706E8"/>
    <w:rsid w:val="004805B9"/>
    <w:rsid w:val="0048449C"/>
    <w:rsid w:val="00485B82"/>
    <w:rsid w:val="00487D9F"/>
    <w:rsid w:val="00496317"/>
    <w:rsid w:val="00497FDC"/>
    <w:rsid w:val="004B152E"/>
    <w:rsid w:val="004B4450"/>
    <w:rsid w:val="004D20A3"/>
    <w:rsid w:val="004D6836"/>
    <w:rsid w:val="004E15C1"/>
    <w:rsid w:val="004F32B2"/>
    <w:rsid w:val="004F4206"/>
    <w:rsid w:val="004F5848"/>
    <w:rsid w:val="004F67D0"/>
    <w:rsid w:val="0050560F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5F75D1"/>
    <w:rsid w:val="00632A3F"/>
    <w:rsid w:val="00645C25"/>
    <w:rsid w:val="00645E62"/>
    <w:rsid w:val="00650C00"/>
    <w:rsid w:val="0065183B"/>
    <w:rsid w:val="00665F59"/>
    <w:rsid w:val="006758A7"/>
    <w:rsid w:val="0068469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5CDE"/>
    <w:rsid w:val="00957A34"/>
    <w:rsid w:val="00960A47"/>
    <w:rsid w:val="00963DF9"/>
    <w:rsid w:val="00976216"/>
    <w:rsid w:val="00980DCD"/>
    <w:rsid w:val="00987CC2"/>
    <w:rsid w:val="009956D5"/>
    <w:rsid w:val="0099621B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046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41B3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87E49"/>
    <w:rsid w:val="00C94653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2BE2"/>
    <w:rsid w:val="00EA572C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B4A18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ind w:left="43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B2A4-500E-41F8-B442-E0007B44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KEMRI/WHO</vt:lpstr>
      <vt:lpstr/>
      <vt:lpstr>PURPOSE</vt:lpstr>
      <vt:lpstr>SCOPE</vt:lpstr>
      <vt:lpstr>PERSONS RESPONSIBLE</vt:lpstr>
      <vt:lpstr>FREQUENCY</vt:lpstr>
      <vt:lpstr>MATERIALS</vt:lpstr>
      <vt:lpstr>PROCEDURE</vt:lpstr>
      <vt:lpstr>REFERENCES</vt:lpstr>
    </vt:vector>
  </TitlesOfParts>
  <Company>Deftones</Company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8</cp:revision>
  <cp:lastPrinted>2025-10-07T11:57:00Z</cp:lastPrinted>
  <dcterms:created xsi:type="dcterms:W3CDTF">2025-10-07T08:37:00Z</dcterms:created>
  <dcterms:modified xsi:type="dcterms:W3CDTF">2025-10-07T11:57:00Z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