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3D17304D" w14:textId="371D5898" w:rsidR="004F7C1E" w:rsidRPr="004F7C1E" w:rsidRDefault="004F7C1E" w:rsidP="004F7C1E">
      <w:pPr>
        <w:pStyle w:val="Heading1"/>
        <w:numPr>
          <w:ilvl w:val="0"/>
          <w:numId w:val="0"/>
        </w:numPr>
        <w:jc w:val="center"/>
        <w:rPr>
          <w:sz w:val="40"/>
        </w:rPr>
      </w:pPr>
      <w:r w:rsidRPr="004F7C1E">
        <w:rPr>
          <w:rStyle w:val="Strong"/>
          <w:b/>
          <w:bCs w:val="0"/>
          <w:sz w:val="40"/>
        </w:rPr>
        <w:t>Statistical Analysis Plans (SAPs)</w:t>
      </w:r>
    </w:p>
    <w:p w14:paraId="54D3F510" w14:textId="447E51DC" w:rsidR="008B5059" w:rsidRPr="00E1792A" w:rsidRDefault="008B5059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AB6B8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AB6B8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AB6B8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AB6B8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AB6B8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AB6B8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14F3B">
              <w:rPr>
                <w:noProof/>
                <w:webHidden/>
              </w:rPr>
              <w:t>6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7E62569C" w14:textId="5BC45309" w:rsidR="00D72AE6" w:rsidRDefault="00D72AE6" w:rsidP="00B11F04">
      <w:r>
        <w:t>To establish a standardized process for the preparation, review, approval, and version control of Statistical Analysis Plans (SAPs) for all research projects supported by the Data Science &amp; Analytics Section (DS&amp;AS).</w:t>
      </w:r>
    </w:p>
    <w:p w14:paraId="221E01BE" w14:textId="1DA18840" w:rsidR="00D72AE6" w:rsidRDefault="00D72AE6" w:rsidP="00B11F04">
      <w:r>
        <w:br/>
        <w:t xml:space="preserve">This SOP ensures that all analyses are conducted according to pre-specified methodologies, thereby promoting </w:t>
      </w:r>
      <w:r>
        <w:rPr>
          <w:rStyle w:val="Strong"/>
        </w:rPr>
        <w:t>transparency, reproducibility, integrity, and regulatory compliance</w:t>
      </w:r>
      <w:r>
        <w:t>. It also ensures that SAPs:</w:t>
      </w:r>
    </w:p>
    <w:p w14:paraId="5D144234" w14:textId="77777777" w:rsidR="00D72AE6" w:rsidRDefault="00D72AE6" w:rsidP="00B11F04">
      <w:pPr>
        <w:pStyle w:val="ListParagraph"/>
        <w:numPr>
          <w:ilvl w:val="0"/>
          <w:numId w:val="35"/>
        </w:numPr>
      </w:pPr>
      <w:r>
        <w:t xml:space="preserve">Are aligned with the study design and ethical requirements outlined under </w:t>
      </w:r>
      <w:r>
        <w:rPr>
          <w:rStyle w:val="Strong"/>
        </w:rPr>
        <w:t>SOP 3: Study Design and Statistical Consultation</w:t>
      </w:r>
      <w:r>
        <w:t>.</w:t>
      </w:r>
    </w:p>
    <w:p w14:paraId="1750BF01" w14:textId="77777777" w:rsidR="00D72AE6" w:rsidRDefault="00D72AE6" w:rsidP="00B11F04">
      <w:pPr>
        <w:pStyle w:val="ListParagraph"/>
        <w:numPr>
          <w:ilvl w:val="0"/>
          <w:numId w:val="35"/>
        </w:numPr>
      </w:pPr>
      <w:r>
        <w:t>Comply with institutional data governance frameworks and the Kenya Data Protection Act (2019).</w:t>
      </w:r>
    </w:p>
    <w:p w14:paraId="709966B7" w14:textId="77777777" w:rsidR="00D72AE6" w:rsidRDefault="00D72AE6" w:rsidP="00B11F04">
      <w:pPr>
        <w:pStyle w:val="ListParagraph"/>
        <w:numPr>
          <w:ilvl w:val="0"/>
          <w:numId w:val="35"/>
        </w:numPr>
      </w:pPr>
      <w:r>
        <w:t xml:space="preserve">Reflect international best practices, including the </w:t>
      </w:r>
      <w:r>
        <w:rPr>
          <w:rStyle w:val="Strong"/>
        </w:rPr>
        <w:t>FAIR data principles</w:t>
      </w:r>
      <w:r>
        <w:t xml:space="preserve">, </w:t>
      </w:r>
      <w:r>
        <w:rPr>
          <w:rStyle w:val="Strong"/>
        </w:rPr>
        <w:t xml:space="preserve">Good Clinical Practice (ICH </w:t>
      </w:r>
      <w:proofErr w:type="gramStart"/>
      <w:r>
        <w:rPr>
          <w:rStyle w:val="Strong"/>
        </w:rPr>
        <w:t>E6[</w:t>
      </w:r>
      <w:proofErr w:type="gramEnd"/>
      <w:r>
        <w:rPr>
          <w:rStyle w:val="Strong"/>
        </w:rPr>
        <w:t>R3])</w:t>
      </w:r>
      <w:r>
        <w:t xml:space="preserve">, and </w:t>
      </w:r>
      <w:r>
        <w:rPr>
          <w:rStyle w:val="Strong"/>
        </w:rPr>
        <w:t>WHO/CIOMS ethical guidelines</w:t>
      </w:r>
      <w:r>
        <w:t>.</w:t>
      </w:r>
    </w:p>
    <w:p w14:paraId="261A9ABE" w14:textId="48065B70" w:rsidR="00D72AE6" w:rsidRDefault="00D72AE6" w:rsidP="00B11F04">
      <w:pPr>
        <w:pStyle w:val="ListParagraph"/>
        <w:numPr>
          <w:ilvl w:val="0"/>
          <w:numId w:val="35"/>
        </w:numPr>
      </w:pPr>
      <w:r>
        <w:t>Support accountability and auditability through version control, documentation, and linkage to project outputs and publications.</w:t>
      </w:r>
    </w:p>
    <w:p w14:paraId="4E6D8CEE" w14:textId="77777777" w:rsidR="00B11F04" w:rsidRDefault="00B11F04" w:rsidP="00B11F04">
      <w:pPr>
        <w:pStyle w:val="ListParagraph"/>
        <w:ind w:left="1008" w:firstLine="0"/>
      </w:pPr>
    </w:p>
    <w:p w14:paraId="76DFE932" w14:textId="77777777" w:rsidR="00D0679E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p w14:paraId="4EE100C2" w14:textId="77777777" w:rsidR="00D72AE6" w:rsidRDefault="00D72AE6" w:rsidP="00B11F04">
      <w:pPr>
        <w:rPr>
          <w:color w:val="auto"/>
        </w:rPr>
      </w:pPr>
      <w:bookmarkStart w:id="8" w:name="_Toc144203932"/>
      <w:bookmarkStart w:id="9" w:name="_Toc144316960"/>
      <w:bookmarkEnd w:id="6"/>
      <w:bookmarkEnd w:id="7"/>
      <w:r>
        <w:t>This SOP applies to all research projects supported by the Data Science &amp; Analytics Section (DS&amp;AS) that involve statistical analysis, modelling, or reporting, across biomedical, ecological, primatological, and translational studies.</w:t>
      </w:r>
    </w:p>
    <w:p w14:paraId="68742370" w14:textId="77777777" w:rsidR="00D72AE6" w:rsidRDefault="00D72AE6" w:rsidP="00B11F04">
      <w:r>
        <w:t>It covers the full lifecycle of Statistical Analysis Plans (SAPs), including:</w:t>
      </w:r>
    </w:p>
    <w:p w14:paraId="36611733" w14:textId="77777777" w:rsidR="00D72AE6" w:rsidRDefault="00D72AE6" w:rsidP="00B11F04">
      <w:pPr>
        <w:pStyle w:val="ListParagraph"/>
        <w:numPr>
          <w:ilvl w:val="0"/>
          <w:numId w:val="34"/>
        </w:numPr>
      </w:pPr>
      <w:r>
        <w:t>Drafting based on approved study protocols.</w:t>
      </w:r>
    </w:p>
    <w:p w14:paraId="319FB4B6" w14:textId="77777777" w:rsidR="00D72AE6" w:rsidRDefault="00D72AE6" w:rsidP="00B11F04">
      <w:pPr>
        <w:pStyle w:val="ListParagraph"/>
        <w:numPr>
          <w:ilvl w:val="0"/>
          <w:numId w:val="34"/>
        </w:numPr>
      </w:pPr>
      <w:r>
        <w:t>Review and approval by qualified DS&amp;AS statisticians.</w:t>
      </w:r>
    </w:p>
    <w:p w14:paraId="096D67B7" w14:textId="77777777" w:rsidR="00D72AE6" w:rsidRDefault="00D72AE6" w:rsidP="00B11F04">
      <w:pPr>
        <w:pStyle w:val="ListParagraph"/>
        <w:numPr>
          <w:ilvl w:val="0"/>
          <w:numId w:val="34"/>
        </w:numPr>
      </w:pPr>
      <w:r>
        <w:t>Version control and archiving in the institutional repository.</w:t>
      </w:r>
    </w:p>
    <w:p w14:paraId="28E7026C" w14:textId="45307F31" w:rsidR="00D72AE6" w:rsidRDefault="00D72AE6" w:rsidP="00B11F04">
      <w:pPr>
        <w:pStyle w:val="ListParagraph"/>
        <w:numPr>
          <w:ilvl w:val="0"/>
          <w:numId w:val="34"/>
        </w:numPr>
      </w:pPr>
      <w:r>
        <w:t>Documentation of any amendments prior to data analysis.</w:t>
      </w:r>
    </w:p>
    <w:p w14:paraId="15B2728A" w14:textId="77777777" w:rsidR="00B11F04" w:rsidRDefault="00B11F04" w:rsidP="00B11F04">
      <w:pPr>
        <w:pStyle w:val="ListParagraph"/>
        <w:ind w:left="1008" w:firstLine="0"/>
      </w:pPr>
    </w:p>
    <w:p w14:paraId="2A50F2FB" w14:textId="4C94CA7E" w:rsidR="00A430C0" w:rsidRPr="00E1792A" w:rsidRDefault="00A430C0" w:rsidP="00A430C0">
      <w:pPr>
        <w:pStyle w:val="Heading1"/>
      </w:pPr>
      <w:r w:rsidRPr="00E1792A">
        <w:t>PERSONS RESPONSIBLE</w:t>
      </w:r>
      <w:bookmarkEnd w:id="8"/>
      <w:bookmarkEnd w:id="9"/>
    </w:p>
    <w:p w14:paraId="2E9DA8BA" w14:textId="77777777" w:rsidR="00D72AE6" w:rsidRDefault="00D72AE6" w:rsidP="00B11F04">
      <w:pPr>
        <w:pStyle w:val="ListParagraph"/>
        <w:numPr>
          <w:ilvl w:val="0"/>
          <w:numId w:val="33"/>
        </w:numPr>
      </w:pPr>
      <w:r>
        <w:rPr>
          <w:rStyle w:val="Strong"/>
        </w:rPr>
        <w:t>Principal Investigator (PI):</w:t>
      </w:r>
      <w:r>
        <w:t xml:space="preserve"> Drafts the SAP in collaboration with DS&amp;AS, ensuring that it accurately reflects the study objectives, endpoints, and planned analyses.</w:t>
      </w:r>
    </w:p>
    <w:p w14:paraId="4A26D452" w14:textId="77777777" w:rsidR="00D72AE6" w:rsidRDefault="00D72AE6" w:rsidP="00B11F04">
      <w:pPr>
        <w:pStyle w:val="ListParagraph"/>
        <w:numPr>
          <w:ilvl w:val="0"/>
          <w:numId w:val="33"/>
        </w:numPr>
      </w:pPr>
      <w:r>
        <w:rPr>
          <w:rStyle w:val="Strong"/>
        </w:rPr>
        <w:t>DS&amp;AS Biostatistician/Data Scientist:</w:t>
      </w:r>
      <w:r>
        <w:t xml:space="preserve"> Develops and reviews the SAP, providing methodological guidance, statistical justification, and ensuring alignment with the study protocol.</w:t>
      </w:r>
    </w:p>
    <w:p w14:paraId="2C9F2365" w14:textId="77777777" w:rsidR="00D72AE6" w:rsidRDefault="00D72AE6" w:rsidP="00B11F04">
      <w:pPr>
        <w:pStyle w:val="ListParagraph"/>
        <w:numPr>
          <w:ilvl w:val="0"/>
          <w:numId w:val="33"/>
        </w:numPr>
      </w:pPr>
      <w:r>
        <w:rPr>
          <w:rStyle w:val="Strong"/>
        </w:rPr>
        <w:t>Senior Statistician (DS&amp;AS):</w:t>
      </w:r>
      <w:r>
        <w:t xml:space="preserve"> Reviews the SAP for scientific rigor and approves it prior to the commencement of data analysis.</w:t>
      </w:r>
    </w:p>
    <w:p w14:paraId="5006D1EC" w14:textId="35E90978" w:rsidR="00D72AE6" w:rsidRPr="005648A2" w:rsidRDefault="00D72AE6" w:rsidP="00B11F04">
      <w:pPr>
        <w:pStyle w:val="ListParagraph"/>
        <w:numPr>
          <w:ilvl w:val="0"/>
          <w:numId w:val="33"/>
        </w:numPr>
      </w:pPr>
      <w:r>
        <w:rPr>
          <w:rStyle w:val="Strong"/>
        </w:rPr>
        <w:t>Head of DS&amp;AS:</w:t>
      </w:r>
      <w:r>
        <w:t xml:space="preserve"> Ensures that all SAPs are properly archived, version-controlled, and compliant with institutional policies and regulatory requirements.</w:t>
      </w:r>
    </w:p>
    <w:p w14:paraId="3FF2D137" w14:textId="2BB26388" w:rsidR="00B11F04" w:rsidRPr="00B11F04" w:rsidRDefault="00A430C0" w:rsidP="00B11F04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077E9A64" w14:textId="77777777" w:rsidR="00D72AE6" w:rsidRDefault="00D72AE6" w:rsidP="00B11F04">
      <w:pPr>
        <w:pStyle w:val="ListParagraph"/>
        <w:numPr>
          <w:ilvl w:val="0"/>
          <w:numId w:val="32"/>
        </w:numPr>
      </w:pPr>
      <w:bookmarkStart w:id="12" w:name="_Toc144316962"/>
      <w:r>
        <w:rPr>
          <w:rStyle w:val="Strong"/>
        </w:rPr>
        <w:t>Initial SAP Preparation:</w:t>
      </w:r>
      <w:r>
        <w:t xml:space="preserve"> Mandatory for every study before any data analysis begins.</w:t>
      </w:r>
    </w:p>
    <w:p w14:paraId="7453B48D" w14:textId="77777777" w:rsidR="00D72AE6" w:rsidRDefault="00D72AE6" w:rsidP="00B11F04">
      <w:pPr>
        <w:pStyle w:val="ListParagraph"/>
        <w:numPr>
          <w:ilvl w:val="0"/>
          <w:numId w:val="32"/>
        </w:numPr>
      </w:pPr>
      <w:r>
        <w:rPr>
          <w:rStyle w:val="Strong"/>
        </w:rPr>
        <w:t>Updates/Amendments:</w:t>
      </w:r>
      <w:r>
        <w:t xml:space="preserve"> Permitted only when justified (e.g., protocol changes or additional analyses) and must be </w:t>
      </w:r>
      <w:r>
        <w:rPr>
          <w:rStyle w:val="Strong"/>
        </w:rPr>
        <w:t>version-controlled, documented, and re-approved</w:t>
      </w:r>
      <w:r>
        <w:t xml:space="preserve"> by the Senior Statistician and Head of DS&amp;AS.</w:t>
      </w:r>
    </w:p>
    <w:p w14:paraId="36C13E9D" w14:textId="2DB8B42D" w:rsidR="004F7C1E" w:rsidRDefault="00D72AE6" w:rsidP="00B11F04">
      <w:pPr>
        <w:pStyle w:val="ListParagraph"/>
        <w:numPr>
          <w:ilvl w:val="0"/>
          <w:numId w:val="32"/>
        </w:numPr>
      </w:pPr>
      <w:r>
        <w:rPr>
          <w:rStyle w:val="Strong"/>
        </w:rPr>
        <w:t>Post-Approval Review:</w:t>
      </w:r>
      <w:r>
        <w:t xml:space="preserve"> SAPs should be reviewed periodically if substantial deviations from the original plan occur during the study.</w:t>
      </w:r>
    </w:p>
    <w:p w14:paraId="79E0CBAE" w14:textId="77777777" w:rsidR="00B11F04" w:rsidRDefault="00B11F04" w:rsidP="00B11F04">
      <w:pPr>
        <w:pStyle w:val="ListParagraph"/>
        <w:ind w:left="1008" w:firstLine="0"/>
      </w:pPr>
    </w:p>
    <w:p w14:paraId="744E5E6F" w14:textId="77777777" w:rsidR="00B11F04" w:rsidRDefault="00EF6627" w:rsidP="00B11F04">
      <w:pPr>
        <w:pStyle w:val="Heading1"/>
      </w:pPr>
      <w:r>
        <w:t>MATERIALS</w:t>
      </w:r>
      <w:bookmarkStart w:id="13" w:name="_Toc144203934"/>
      <w:bookmarkStart w:id="14" w:name="_Toc144316963"/>
      <w:bookmarkEnd w:id="12"/>
    </w:p>
    <w:p w14:paraId="3EDDB3F9" w14:textId="77777777" w:rsidR="00B11F04" w:rsidRDefault="00B11F04" w:rsidP="00B11F04">
      <w:pPr>
        <w:pStyle w:val="ListParagraph"/>
        <w:numPr>
          <w:ilvl w:val="0"/>
          <w:numId w:val="31"/>
        </w:numPr>
      </w:pPr>
      <w:r>
        <w:rPr>
          <w:rStyle w:val="Strong"/>
        </w:rPr>
        <w:t>Analysis Plan (SAP) Template:</w:t>
      </w:r>
      <w:r>
        <w:t xml:space="preserve"> Includes objectives, endpoints, </w:t>
      </w:r>
      <w:proofErr w:type="gramStart"/>
      <w:r>
        <w:t>statistical</w:t>
      </w:r>
      <w:proofErr w:type="gramEnd"/>
      <w:r>
        <w:t xml:space="preserve"> methods, handling of missing data, and planned outputs.</w:t>
      </w:r>
    </w:p>
    <w:p w14:paraId="49D035B1" w14:textId="1E303177" w:rsidR="00B11F04" w:rsidRDefault="00B11F04" w:rsidP="00B11F04">
      <w:pPr>
        <w:pStyle w:val="ListParagraph"/>
        <w:numPr>
          <w:ilvl w:val="0"/>
          <w:numId w:val="31"/>
        </w:numPr>
      </w:pPr>
      <w:r>
        <w:rPr>
          <w:rStyle w:val="Strong"/>
        </w:rPr>
        <w:t>Data Dictionary Template:</w:t>
      </w:r>
      <w:r>
        <w:t xml:space="preserve"> Standardized format for variable names, types, coding, and definitions to ensure consistency across datasets.</w:t>
      </w:r>
    </w:p>
    <w:p w14:paraId="6844A59E" w14:textId="2C66A181" w:rsidR="00B11F04" w:rsidRDefault="00B11F04" w:rsidP="00B11F04">
      <w:pPr>
        <w:pStyle w:val="ListParagraph"/>
        <w:numPr>
          <w:ilvl w:val="0"/>
          <w:numId w:val="31"/>
        </w:numPr>
      </w:pPr>
      <w:r>
        <w:rPr>
          <w:rStyle w:val="Strong"/>
        </w:rPr>
        <w:t>Dummy Tables / Shell Tables:</w:t>
      </w:r>
      <w:r>
        <w:t xml:space="preserve"> Pre-formatted tables outlining the expected structure and content of outputs for key analyses.</w:t>
      </w:r>
    </w:p>
    <w:p w14:paraId="19090474" w14:textId="088FEA88" w:rsidR="00B11F04" w:rsidRDefault="00B11F04" w:rsidP="00B11F04">
      <w:pPr>
        <w:pStyle w:val="ListParagraph"/>
        <w:numPr>
          <w:ilvl w:val="0"/>
          <w:numId w:val="31"/>
        </w:numPr>
      </w:pPr>
      <w:r>
        <w:rPr>
          <w:rStyle w:val="Strong"/>
        </w:rPr>
        <w:t>Version Control System:</w:t>
      </w:r>
      <w:r>
        <w:t xml:space="preserve"> Tools such as Git or the institutional repository to maintain version history and track amendments.</w:t>
      </w:r>
    </w:p>
    <w:p w14:paraId="25FE5D6B" w14:textId="77777777" w:rsidR="00B11F04" w:rsidRDefault="00B11F04" w:rsidP="00B11F04">
      <w:pPr>
        <w:pStyle w:val="ListParagraph"/>
        <w:numPr>
          <w:ilvl w:val="0"/>
          <w:numId w:val="31"/>
        </w:numPr>
      </w:pPr>
      <w:r>
        <w:rPr>
          <w:rStyle w:val="Strong"/>
        </w:rPr>
        <w:t>SAP Approval Form:</w:t>
      </w:r>
      <w:r>
        <w:t xml:space="preserve"> Standardized form for documenting review and sign-off by the Senior Statistician and Head of DS&amp;AS.</w:t>
      </w:r>
    </w:p>
    <w:p w14:paraId="21460D27" w14:textId="2968BE54" w:rsidR="00B11F04" w:rsidRDefault="00B11F04" w:rsidP="00B11F04">
      <w:pPr>
        <w:pStyle w:val="ListParagraph"/>
        <w:numPr>
          <w:ilvl w:val="0"/>
          <w:numId w:val="31"/>
        </w:numPr>
      </w:pPr>
      <w:r>
        <w:rPr>
          <w:rStyle w:val="Strong"/>
        </w:rPr>
        <w:t>Related Documentation:</w:t>
      </w:r>
      <w:r>
        <w:t xml:space="preserve"> Approved study protocol, ethical approval documents, prior SAPs, and any study-specific analysis notes.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357D0230" w14:textId="77777777" w:rsidR="004F7C1E" w:rsidRDefault="004F7C1E" w:rsidP="00B11F04">
      <w:pPr>
        <w:pStyle w:val="ListParagraph"/>
        <w:numPr>
          <w:ilvl w:val="0"/>
          <w:numId w:val="36"/>
        </w:numPr>
      </w:pPr>
      <w:r>
        <w:rPr>
          <w:rStyle w:val="Strong"/>
        </w:rPr>
        <w:t>Drafting:</w:t>
      </w:r>
      <w:r>
        <w:t xml:space="preserve"> PI, with DS&amp;AS, drafts SAP based on approved protocol.</w:t>
      </w:r>
    </w:p>
    <w:p w14:paraId="17C9B0C0" w14:textId="3A61A37F" w:rsidR="004F7C1E" w:rsidRDefault="004F7C1E" w:rsidP="00B11F04">
      <w:pPr>
        <w:pStyle w:val="ListParagraph"/>
        <w:numPr>
          <w:ilvl w:val="0"/>
          <w:numId w:val="36"/>
        </w:numPr>
      </w:pPr>
      <w:r>
        <w:rPr>
          <w:rStyle w:val="Strong"/>
        </w:rPr>
        <w:t>Review:</w:t>
      </w:r>
      <w:r>
        <w:t xml:space="preserve"> </w:t>
      </w:r>
      <w:r w:rsidR="00C24CD0">
        <w:t>A senior statistician for methodological soundness reviews SAP</w:t>
      </w:r>
      <w:r>
        <w:t>.</w:t>
      </w:r>
    </w:p>
    <w:p w14:paraId="2F8E69E7" w14:textId="77777777" w:rsidR="004F7C1E" w:rsidRDefault="004F7C1E" w:rsidP="00B11F04">
      <w:pPr>
        <w:pStyle w:val="ListParagraph"/>
        <w:numPr>
          <w:ilvl w:val="0"/>
          <w:numId w:val="36"/>
        </w:numPr>
      </w:pPr>
      <w:r>
        <w:rPr>
          <w:rStyle w:val="Strong"/>
        </w:rPr>
        <w:t>Approval:</w:t>
      </w:r>
      <w:r>
        <w:t xml:space="preserve"> Head of DS&amp;AS signs off before analysis begins.</w:t>
      </w:r>
    </w:p>
    <w:p w14:paraId="05818695" w14:textId="77777777" w:rsidR="004F7C1E" w:rsidRDefault="004F7C1E" w:rsidP="00B11F04">
      <w:pPr>
        <w:pStyle w:val="ListParagraph"/>
        <w:numPr>
          <w:ilvl w:val="0"/>
          <w:numId w:val="36"/>
        </w:numPr>
      </w:pPr>
      <w:r>
        <w:rPr>
          <w:rStyle w:val="Strong"/>
        </w:rPr>
        <w:t>Archiving:</w:t>
      </w:r>
      <w:r>
        <w:t xml:space="preserve"> SAP stored in central repository with version history.</w:t>
      </w:r>
    </w:p>
    <w:p w14:paraId="5514B66E" w14:textId="77777777" w:rsidR="004F7C1E" w:rsidRDefault="004F7C1E" w:rsidP="00B11F04">
      <w:pPr>
        <w:pStyle w:val="ListParagraph"/>
        <w:numPr>
          <w:ilvl w:val="0"/>
          <w:numId w:val="36"/>
        </w:numPr>
      </w:pPr>
      <w:r>
        <w:rPr>
          <w:rStyle w:val="Strong"/>
        </w:rPr>
        <w:t>Amendments:</w:t>
      </w:r>
      <w:r>
        <w:t xml:space="preserve"> Any updates must be justified, documented, and re-approved.</w:t>
      </w:r>
    </w:p>
    <w:p w14:paraId="16A76B90" w14:textId="77777777" w:rsidR="004F7C1E" w:rsidRDefault="004F7C1E" w:rsidP="00B11F04">
      <w:pPr>
        <w:pStyle w:val="ListParagraph"/>
        <w:numPr>
          <w:ilvl w:val="0"/>
          <w:numId w:val="36"/>
        </w:numPr>
      </w:pPr>
      <w:r>
        <w:rPr>
          <w:rStyle w:val="Strong"/>
        </w:rPr>
        <w:t>Link to Publication:</w:t>
      </w:r>
      <w:r>
        <w:t xml:space="preserve"> No results may be published without a corresponding approved SAP.</w:t>
      </w:r>
    </w:p>
    <w:p w14:paraId="6C2AA115" w14:textId="77777777" w:rsidR="007B072E" w:rsidRPr="002435E5" w:rsidRDefault="007B072E" w:rsidP="00EA7C73">
      <w:pPr>
        <w:ind w:left="0" w:firstLine="0"/>
      </w:pPr>
    </w:p>
    <w:p w14:paraId="4B3D67E5" w14:textId="5C5CB8CE" w:rsidR="007B072E" w:rsidRPr="007B072E" w:rsidRDefault="007F2FA3" w:rsidP="007B072E">
      <w:pPr>
        <w:pStyle w:val="Heading1"/>
        <w:spacing w:before="240"/>
        <w:ind w:left="432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3"/>
      <w:bookmarkEnd w:id="15"/>
    </w:p>
    <w:p w14:paraId="466824A2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KIPRE Strategic Plan (2023–2027)</w:t>
      </w:r>
    </w:p>
    <w:p w14:paraId="34EC046E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DS&amp;AS Policy and Strategy Framework (SOP 1)</w:t>
      </w:r>
    </w:p>
    <w:p w14:paraId="6F944395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SOP 2 – Alignment of DS&amp;AS Processes with Institutional and National Regulations</w:t>
      </w:r>
    </w:p>
    <w:p w14:paraId="42707A57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SOP 3 – Study Design and Statistical Consultation</w:t>
      </w:r>
    </w:p>
    <w:p w14:paraId="30FDB255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Kenya Data Protection Act (2019)</w:t>
      </w:r>
    </w:p>
    <w:p w14:paraId="7CF5CD33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Institutional Data Protection and Sharing Policy (2024)</w:t>
      </w:r>
    </w:p>
    <w:p w14:paraId="697206CA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Good Clinical Practice (GCP) – ICH E6(R3) Guidelines</w:t>
      </w:r>
    </w:p>
    <w:p w14:paraId="6CA10251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FAIR Data Principles (Findable, Accessible, Interoperable, Reusable)</w:t>
      </w:r>
    </w:p>
    <w:p w14:paraId="56757C0F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CONSORT 2010 Statement – Consolidated Standards of Reporting Trials</w:t>
      </w:r>
    </w:p>
    <w:p w14:paraId="0B39F00C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>STROBE Guidelines – Strengthening the Reporting of Observational Studies in Epidemiology</w:t>
      </w:r>
    </w:p>
    <w:p w14:paraId="34C6D951" w14:textId="77777777" w:rsidR="007B072E" w:rsidRDefault="007B072E" w:rsidP="007B072E">
      <w:pPr>
        <w:pStyle w:val="ListParagraph"/>
        <w:numPr>
          <w:ilvl w:val="0"/>
          <w:numId w:val="25"/>
        </w:numPr>
      </w:pPr>
      <w:r>
        <w:t xml:space="preserve">REMARK Guidelines – Reporting Recommendations for </w:t>
      </w:r>
      <w:proofErr w:type="spellStart"/>
      <w:r>
        <w:t>Tumour</w:t>
      </w:r>
      <w:proofErr w:type="spellEnd"/>
      <w:r>
        <w:t xml:space="preserve"> Marker Prognostic Studies</w:t>
      </w:r>
    </w:p>
    <w:p w14:paraId="28014225" w14:textId="4B8BCE5E" w:rsidR="007B072E" w:rsidRDefault="007B072E" w:rsidP="007B072E">
      <w:pPr>
        <w:pStyle w:val="ListParagraph"/>
        <w:numPr>
          <w:ilvl w:val="0"/>
          <w:numId w:val="25"/>
        </w:numPr>
      </w:pPr>
      <w:r>
        <w:t>WHO and CIOMS International Ethical Guidelines for Health-Related Research (2016)</w:t>
      </w:r>
    </w:p>
    <w:p w14:paraId="4D78D319" w14:textId="77777777" w:rsidR="007B072E" w:rsidRDefault="007B072E" w:rsidP="007B072E">
      <w:pPr>
        <w:pStyle w:val="ListParagraph"/>
        <w:ind w:firstLine="0"/>
      </w:pPr>
    </w:p>
    <w:p w14:paraId="2F4755F4" w14:textId="77777777" w:rsidR="007B072E" w:rsidRDefault="007B072E" w:rsidP="007B072E">
      <w:pPr>
        <w:pStyle w:val="ListParagraph"/>
        <w:ind w:firstLine="0"/>
      </w:pPr>
      <w:bookmarkStart w:id="16" w:name="_GoBack"/>
      <w:bookmarkEnd w:id="16"/>
    </w:p>
    <w:p w14:paraId="535345E1" w14:textId="03EC7A53" w:rsidR="007B072E" w:rsidRDefault="007B072E" w:rsidP="007B072E">
      <w:pPr>
        <w:pStyle w:val="Heading1"/>
      </w:pPr>
      <w:r>
        <w:rPr>
          <w:rStyle w:val="Strong"/>
          <w:b/>
          <w:bCs w:val="0"/>
        </w:rPr>
        <w:t xml:space="preserve"> APPENDICES</w:t>
      </w:r>
    </w:p>
    <w:p w14:paraId="3CACAAAC" w14:textId="77777777" w:rsidR="007B072E" w:rsidRDefault="007B072E" w:rsidP="00B11F04">
      <w:r>
        <w:rPr>
          <w:rStyle w:val="Strong"/>
        </w:rPr>
        <w:t>Appendix 1:</w:t>
      </w:r>
      <w:r>
        <w:t xml:space="preserve"> Statistical Analysis Plan (SAP) Template</w:t>
      </w:r>
      <w:r>
        <w:br/>
      </w:r>
      <w:r>
        <w:rPr>
          <w:rStyle w:val="Strong"/>
        </w:rPr>
        <w:t>Appendix 2:</w:t>
      </w:r>
      <w:r>
        <w:t xml:space="preserve"> SAP Review and Approval Form</w:t>
      </w:r>
      <w:r>
        <w:br/>
      </w:r>
      <w:r>
        <w:rPr>
          <w:rStyle w:val="Strong"/>
        </w:rPr>
        <w:t>Appendix 3:</w:t>
      </w:r>
      <w:r>
        <w:t xml:space="preserve"> SAP Version Control Log Template</w:t>
      </w:r>
      <w:r>
        <w:br/>
      </w:r>
      <w:r>
        <w:rPr>
          <w:rStyle w:val="Strong"/>
        </w:rPr>
        <w:t>Appendix 4:</w:t>
      </w:r>
      <w:r>
        <w:t xml:space="preserve"> SAP Amendment Justification Form</w:t>
      </w:r>
      <w:r>
        <w:br/>
      </w:r>
      <w:r>
        <w:rPr>
          <w:rStyle w:val="Strong"/>
        </w:rPr>
        <w:t>Appendix 5:</w:t>
      </w:r>
      <w:r>
        <w:t xml:space="preserve"> SAP–Publication Linkage Record Sheet</w:t>
      </w:r>
    </w:p>
    <w:p w14:paraId="6EDA5853" w14:textId="3B371606" w:rsidR="005F75D1" w:rsidRDefault="005F75D1" w:rsidP="004F7C1E">
      <w:pPr>
        <w:pStyle w:val="ListParagraph"/>
        <w:ind w:left="0"/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FA99F" w14:textId="77777777" w:rsidR="00AB6B8B" w:rsidRDefault="00AB6B8B">
      <w:pPr>
        <w:spacing w:after="0" w:line="240" w:lineRule="auto"/>
      </w:pPr>
      <w:r>
        <w:separator/>
      </w:r>
    </w:p>
  </w:endnote>
  <w:endnote w:type="continuationSeparator" w:id="0">
    <w:p w14:paraId="5B0F845D" w14:textId="77777777" w:rsidR="00AB6B8B" w:rsidRDefault="00AB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14F3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14F3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69CBF" w14:textId="77777777" w:rsidR="00AB6B8B" w:rsidRDefault="00AB6B8B">
      <w:pPr>
        <w:spacing w:after="0" w:line="240" w:lineRule="auto"/>
      </w:pPr>
      <w:r>
        <w:separator/>
      </w:r>
    </w:p>
  </w:footnote>
  <w:footnote w:type="continuationSeparator" w:id="0">
    <w:p w14:paraId="7BA8731C" w14:textId="77777777" w:rsidR="00AB6B8B" w:rsidRDefault="00AB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515BA"/>
    <w:multiLevelType w:val="multilevel"/>
    <w:tmpl w:val="505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B4938"/>
    <w:multiLevelType w:val="hybridMultilevel"/>
    <w:tmpl w:val="5C2A2C7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F070908"/>
    <w:multiLevelType w:val="hybridMultilevel"/>
    <w:tmpl w:val="3D8C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04ECD"/>
    <w:multiLevelType w:val="hybridMultilevel"/>
    <w:tmpl w:val="C6CAD8A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2CEA3951"/>
    <w:multiLevelType w:val="multilevel"/>
    <w:tmpl w:val="505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90077CB"/>
    <w:multiLevelType w:val="hybridMultilevel"/>
    <w:tmpl w:val="CEA08E4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E03EA"/>
    <w:multiLevelType w:val="hybridMultilevel"/>
    <w:tmpl w:val="8B82666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2D064E1"/>
    <w:multiLevelType w:val="hybridMultilevel"/>
    <w:tmpl w:val="A6243D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464161E1"/>
    <w:multiLevelType w:val="hybridMultilevel"/>
    <w:tmpl w:val="9DDE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C4A10"/>
    <w:multiLevelType w:val="hybridMultilevel"/>
    <w:tmpl w:val="1AAA40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84F28"/>
    <w:multiLevelType w:val="hybridMultilevel"/>
    <w:tmpl w:val="FDEE37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C7142"/>
    <w:multiLevelType w:val="hybridMultilevel"/>
    <w:tmpl w:val="8E10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72AD2AAD"/>
    <w:multiLevelType w:val="multilevel"/>
    <w:tmpl w:val="BB36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05540"/>
    <w:multiLevelType w:val="hybridMultilevel"/>
    <w:tmpl w:val="89F884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2"/>
    </w:lvlOverride>
  </w:num>
  <w:num w:numId="4">
    <w:abstractNumId w:val="23"/>
  </w:num>
  <w:num w:numId="5">
    <w:abstractNumId w:val="30"/>
  </w:num>
  <w:num w:numId="6">
    <w:abstractNumId w:val="25"/>
  </w:num>
  <w:num w:numId="7">
    <w:abstractNumId w:val="11"/>
    <w:lvlOverride w:ilvl="0">
      <w:startOverride w:val="1"/>
    </w:lvlOverride>
  </w:num>
  <w:num w:numId="8">
    <w:abstractNumId w:val="19"/>
  </w:num>
  <w:num w:numId="9">
    <w:abstractNumId w:val="18"/>
  </w:num>
  <w:num w:numId="10">
    <w:abstractNumId w:val="22"/>
  </w:num>
  <w:num w:numId="11">
    <w:abstractNumId w:val="27"/>
  </w:num>
  <w:num w:numId="12">
    <w:abstractNumId w:val="33"/>
  </w:num>
  <w:num w:numId="13">
    <w:abstractNumId w:val="20"/>
  </w:num>
  <w:num w:numId="14">
    <w:abstractNumId w:val="24"/>
  </w:num>
  <w:num w:numId="15">
    <w:abstractNumId w:val="13"/>
  </w:num>
  <w:num w:numId="16">
    <w:abstractNumId w:val="5"/>
  </w:num>
  <w:num w:numId="17">
    <w:abstractNumId w:val="29"/>
  </w:num>
  <w:num w:numId="18">
    <w:abstractNumId w:val="10"/>
  </w:num>
  <w:num w:numId="19">
    <w:abstractNumId w:val="1"/>
  </w:num>
  <w:num w:numId="20">
    <w:abstractNumId w:val="3"/>
  </w:num>
  <w:num w:numId="21">
    <w:abstractNumId w:val="4"/>
  </w:num>
  <w:num w:numId="22">
    <w:abstractNumId w:val="31"/>
  </w:num>
  <w:num w:numId="23">
    <w:abstractNumId w:val="8"/>
  </w:num>
  <w:num w:numId="24">
    <w:abstractNumId w:val="2"/>
  </w:num>
  <w:num w:numId="25">
    <w:abstractNumId w:val="28"/>
  </w:num>
  <w:num w:numId="26">
    <w:abstractNumId w:val="16"/>
  </w:num>
  <w:num w:numId="27">
    <w:abstractNumId w:val="21"/>
  </w:num>
  <w:num w:numId="28">
    <w:abstractNumId w:val="26"/>
  </w:num>
  <w:num w:numId="29">
    <w:abstractNumId w:val="7"/>
  </w:num>
  <w:num w:numId="30">
    <w:abstractNumId w:val="9"/>
  </w:num>
  <w:num w:numId="31">
    <w:abstractNumId w:val="17"/>
  </w:num>
  <w:num w:numId="32">
    <w:abstractNumId w:val="6"/>
  </w:num>
  <w:num w:numId="33">
    <w:abstractNumId w:val="12"/>
  </w:num>
  <w:num w:numId="34">
    <w:abstractNumId w:val="15"/>
  </w:num>
  <w:num w:numId="35">
    <w:abstractNumId w:val="14"/>
  </w:num>
  <w:num w:numId="36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36001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4F3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3F5B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E6EC3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4F7C1E"/>
    <w:rsid w:val="00514A81"/>
    <w:rsid w:val="00514CB0"/>
    <w:rsid w:val="00521B83"/>
    <w:rsid w:val="00522091"/>
    <w:rsid w:val="0053193F"/>
    <w:rsid w:val="00540961"/>
    <w:rsid w:val="0055410B"/>
    <w:rsid w:val="005648A2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072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B6B8B"/>
    <w:rsid w:val="00AD72BF"/>
    <w:rsid w:val="00AE1650"/>
    <w:rsid w:val="00AF28B5"/>
    <w:rsid w:val="00B07AE4"/>
    <w:rsid w:val="00B11F0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24CD0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2AE6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C7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A0FFA-DF71-43FB-91AA-A50FA6A4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11</cp:revision>
  <cp:lastPrinted>2025-10-07T11:21:00Z</cp:lastPrinted>
  <dcterms:created xsi:type="dcterms:W3CDTF">2025-10-06T09:23:00Z</dcterms:created>
  <dcterms:modified xsi:type="dcterms:W3CDTF">2025-10-07T11:22:00Z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