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2329AF9" w:rsidR="008B5059" w:rsidRPr="006E1F63" w:rsidRDefault="00A161B4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Data s</w:t>
      </w:r>
      <w:bookmarkStart w:id="2" w:name="_GoBack"/>
      <w:bookmarkEnd w:id="2"/>
      <w:r w:rsidR="00F93C41">
        <w:rPr>
          <w:rStyle w:val="Strong"/>
          <w:bCs w:val="0"/>
          <w:sz w:val="40"/>
        </w:rPr>
        <w:t>haring, anonymisation, and c</w:t>
      </w:r>
      <w:r w:rsidR="006E1F63" w:rsidRPr="006E1F63">
        <w:rPr>
          <w:rStyle w:val="Strong"/>
          <w:bCs w:val="0"/>
          <w:sz w:val="40"/>
        </w:rPr>
        <w:t>ompliance</w:t>
      </w:r>
      <w:r w:rsidR="006E1F63" w:rsidRPr="006E1F63">
        <w:rPr>
          <w:color w:val="000000" w:themeColor="text1"/>
          <w:sz w:val="40"/>
          <w:szCs w:val="24"/>
        </w:rPr>
        <w:t xml:space="preserve"> </w:t>
      </w:r>
      <w:r w:rsidR="008B5059" w:rsidRPr="006E1F63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7125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5282F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42DE310B" w14:textId="77777777" w:rsidR="005706DD" w:rsidRDefault="002435E5" w:rsidP="005706DD">
      <w:pPr>
        <w:rPr>
          <w:color w:val="auto"/>
        </w:rPr>
      </w:pPr>
      <w:r>
        <w:t xml:space="preserve"> </w:t>
      </w:r>
      <w:bookmarkStart w:id="6" w:name="_Toc144316959"/>
      <w:r w:rsidR="005706DD">
        <w:t xml:space="preserve">To establish standardized procedures for </w:t>
      </w:r>
      <w:r w:rsidR="005706DD">
        <w:rPr>
          <w:rStyle w:val="Strong"/>
        </w:rPr>
        <w:t>data sharing, anonymisation, and compliance</w:t>
      </w:r>
      <w:r w:rsidR="005706DD">
        <w:t>, ensuring that all DS&amp;AS-managed datasets are:</w:t>
      </w:r>
    </w:p>
    <w:p w14:paraId="610C596C" w14:textId="77777777" w:rsidR="005706DD" w:rsidRDefault="005706DD" w:rsidP="005706DD">
      <w:pPr>
        <w:pStyle w:val="ListParagraph"/>
        <w:numPr>
          <w:ilvl w:val="0"/>
          <w:numId w:val="30"/>
        </w:numPr>
      </w:pPr>
      <w:r>
        <w:rPr>
          <w:rStyle w:val="Strong"/>
        </w:rPr>
        <w:t>Protected and de-identified</w:t>
      </w:r>
      <w:r>
        <w:t xml:space="preserve"> according to ethical, legal, and institutional requirements.</w:t>
      </w:r>
    </w:p>
    <w:p w14:paraId="31CF69B0" w14:textId="77777777" w:rsidR="005706DD" w:rsidRDefault="005706DD" w:rsidP="005706DD">
      <w:pPr>
        <w:pStyle w:val="ListParagraph"/>
        <w:numPr>
          <w:ilvl w:val="0"/>
          <w:numId w:val="30"/>
        </w:numPr>
      </w:pPr>
      <w:r>
        <w:rPr>
          <w:rStyle w:val="Strong"/>
        </w:rPr>
        <w:t>Shared securely</w:t>
      </w:r>
      <w:r>
        <w:t xml:space="preserve"> with internal and external collaborators under controlled access.</w:t>
      </w:r>
    </w:p>
    <w:p w14:paraId="7D165C86" w14:textId="77777777" w:rsidR="005706DD" w:rsidRDefault="005706DD" w:rsidP="005706DD">
      <w:pPr>
        <w:pStyle w:val="ListParagraph"/>
        <w:numPr>
          <w:ilvl w:val="0"/>
          <w:numId w:val="30"/>
        </w:numPr>
      </w:pPr>
      <w:r>
        <w:rPr>
          <w:rStyle w:val="Strong"/>
        </w:rPr>
        <w:t>Documented and auditable</w:t>
      </w:r>
      <w:r>
        <w:t xml:space="preserve"> to maintain transparency, reproducibility, and regulatory compliance.</w:t>
      </w:r>
    </w:p>
    <w:p w14:paraId="6A2C3B07" w14:textId="77777777" w:rsidR="005706DD" w:rsidRDefault="005706DD" w:rsidP="005706DD">
      <w:r>
        <w:t xml:space="preserve">This SOP aligns with: </w:t>
      </w:r>
    </w:p>
    <w:p w14:paraId="5DE88DD8" w14:textId="3DE15C80" w:rsidR="005706DD" w:rsidRDefault="005706DD" w:rsidP="005706DD">
      <w:r>
        <w:rPr>
          <w:rStyle w:val="Strong"/>
        </w:rPr>
        <w:t>SOP 1</w:t>
      </w:r>
      <w:r>
        <w:t xml:space="preserve"> (Policies and Strategies), </w:t>
      </w:r>
      <w:r>
        <w:rPr>
          <w:rStyle w:val="Strong"/>
        </w:rPr>
        <w:t>SOP 2</w:t>
      </w:r>
      <w:r>
        <w:t xml:space="preserve"> (Regulatory Compliance), </w:t>
      </w:r>
      <w:r>
        <w:rPr>
          <w:rStyle w:val="Strong"/>
        </w:rPr>
        <w:t>SOP 6</w:t>
      </w:r>
      <w:r>
        <w:t xml:space="preserve"> (Data Access and Authentication), and </w:t>
      </w:r>
      <w:r>
        <w:rPr>
          <w:rStyle w:val="Strong"/>
        </w:rPr>
        <w:t>SOP 8</w:t>
      </w:r>
      <w:r>
        <w:t xml:space="preserve"> (Database and Workflow Management).</w:t>
      </w:r>
    </w:p>
    <w:p w14:paraId="09A675FE" w14:textId="77777777" w:rsidR="005706DD" w:rsidRDefault="005706DD" w:rsidP="005706DD"/>
    <w:p w14:paraId="76DFE932" w14:textId="60B60B59" w:rsidR="00D0679E" w:rsidRPr="00E1792A" w:rsidRDefault="00A430C0" w:rsidP="005706DD">
      <w:pPr>
        <w:pStyle w:val="Heading1"/>
      </w:pPr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73AE4202" w14:textId="77777777" w:rsidR="005706DD" w:rsidRDefault="002435E5" w:rsidP="005706DD">
      <w:pPr>
        <w:rPr>
          <w:color w:val="auto"/>
        </w:rPr>
      </w:pPr>
      <w:r>
        <w:t xml:space="preserve"> </w:t>
      </w:r>
      <w:bookmarkStart w:id="9" w:name="_Toc144203932"/>
      <w:bookmarkStart w:id="10" w:name="_Toc144316960"/>
      <w:bookmarkEnd w:id="8"/>
      <w:r w:rsidR="005706DD">
        <w:t xml:space="preserve">Applies to all </w:t>
      </w:r>
      <w:r w:rsidR="005706DD">
        <w:rPr>
          <w:rStyle w:val="Strong"/>
        </w:rPr>
        <w:t>DS&amp;AS-managed datasets</w:t>
      </w:r>
      <w:r w:rsidR="005706DD">
        <w:t xml:space="preserve"> that </w:t>
      </w:r>
      <w:proofErr w:type="gramStart"/>
      <w:r w:rsidR="005706DD">
        <w:t>are shared</w:t>
      </w:r>
      <w:proofErr w:type="gramEnd"/>
      <w:r w:rsidR="005706DD">
        <w:t xml:space="preserve"> </w:t>
      </w:r>
      <w:r w:rsidR="005706DD">
        <w:rPr>
          <w:rStyle w:val="Strong"/>
        </w:rPr>
        <w:t>internally or externally</w:t>
      </w:r>
      <w:r w:rsidR="005706DD">
        <w:t>, including:</w:t>
      </w:r>
    </w:p>
    <w:p w14:paraId="7F274D25" w14:textId="77777777" w:rsidR="005706DD" w:rsidRDefault="005706DD" w:rsidP="005706DD">
      <w:pPr>
        <w:pStyle w:val="ListParagraph"/>
        <w:numPr>
          <w:ilvl w:val="0"/>
          <w:numId w:val="32"/>
        </w:numPr>
      </w:pPr>
      <w:r>
        <w:t>Research collaborations and multi-institutional projects.</w:t>
      </w:r>
    </w:p>
    <w:p w14:paraId="21C77F8D" w14:textId="77777777" w:rsidR="005706DD" w:rsidRDefault="005706DD" w:rsidP="005706DD">
      <w:pPr>
        <w:pStyle w:val="ListParagraph"/>
        <w:numPr>
          <w:ilvl w:val="0"/>
          <w:numId w:val="32"/>
        </w:numPr>
      </w:pPr>
      <w:r>
        <w:t>Data supporting publications, reports, or dashboards.</w:t>
      </w:r>
    </w:p>
    <w:p w14:paraId="7D75087B" w14:textId="77777777" w:rsidR="005706DD" w:rsidRDefault="005706DD" w:rsidP="005706DD">
      <w:pPr>
        <w:pStyle w:val="ListParagraph"/>
        <w:numPr>
          <w:ilvl w:val="0"/>
          <w:numId w:val="32"/>
        </w:numPr>
      </w:pPr>
      <w:r>
        <w:t>Deposits in open-access or institutional repositories.</w:t>
      </w:r>
    </w:p>
    <w:p w14:paraId="0DD342BC" w14:textId="77777777" w:rsidR="005706DD" w:rsidRDefault="005706DD" w:rsidP="005706DD">
      <w:pPr>
        <w:pStyle w:val="ListParagraph"/>
        <w:numPr>
          <w:ilvl w:val="0"/>
          <w:numId w:val="32"/>
        </w:numPr>
      </w:pPr>
      <w:r>
        <w:t>Activities requiring anonymisation, pseudonymisation, or aggregation before sharing.</w:t>
      </w:r>
    </w:p>
    <w:p w14:paraId="2A50F2FB" w14:textId="23590F45" w:rsidR="00A430C0" w:rsidRPr="00E1792A" w:rsidRDefault="00A430C0" w:rsidP="005706DD">
      <w:pPr>
        <w:pStyle w:val="Heading1"/>
      </w:pPr>
      <w:r w:rsidRPr="00E1792A">
        <w:t>PERSONS RESPONSIBLE:</w:t>
      </w:r>
      <w:bookmarkEnd w:id="9"/>
      <w:bookmarkEnd w:id="10"/>
      <w:r w:rsidRPr="00E1792A">
        <w:t xml:space="preserve"> </w:t>
      </w:r>
    </w:p>
    <w:p w14:paraId="7ABBBFCD" w14:textId="77777777" w:rsidR="005706DD" w:rsidRDefault="005706DD" w:rsidP="005706DD">
      <w:pPr>
        <w:pStyle w:val="ListParagraph"/>
        <w:numPr>
          <w:ilvl w:val="0"/>
          <w:numId w:val="34"/>
        </w:numPr>
        <w:ind w:left="993"/>
      </w:pPr>
      <w:bookmarkStart w:id="11" w:name="_Toc144203933"/>
      <w:bookmarkStart w:id="12" w:name="_Toc144316961"/>
      <w:r>
        <w:rPr>
          <w:rStyle w:val="Strong"/>
        </w:rPr>
        <w:t>Head of DS&amp;AS:</w:t>
      </w:r>
      <w:r>
        <w:t xml:space="preserve"> Reviews and authorizes all data-sharing requests to ensure compliance with institutional policies and strategic objectives.</w:t>
      </w:r>
    </w:p>
    <w:p w14:paraId="4C1A14A2" w14:textId="77777777" w:rsidR="005706DD" w:rsidRDefault="005706DD" w:rsidP="005706DD">
      <w:pPr>
        <w:pStyle w:val="ListParagraph"/>
        <w:numPr>
          <w:ilvl w:val="0"/>
          <w:numId w:val="34"/>
        </w:numPr>
        <w:ind w:left="993"/>
      </w:pPr>
      <w:r>
        <w:rPr>
          <w:rStyle w:val="Strong"/>
        </w:rPr>
        <w:t>Data Protection Officer (DPO):</w:t>
      </w:r>
      <w:r>
        <w:t xml:space="preserve"> Certifies that datasets comply with the </w:t>
      </w:r>
      <w:r>
        <w:rPr>
          <w:rStyle w:val="Strong"/>
        </w:rPr>
        <w:t>Kenya Data Protection Act (2019)</w:t>
      </w:r>
      <w:r>
        <w:t>, GDPR, and institutional ethical standards.</w:t>
      </w:r>
    </w:p>
    <w:p w14:paraId="17960554" w14:textId="77777777" w:rsidR="005706DD" w:rsidRDefault="005706DD" w:rsidP="005706DD">
      <w:pPr>
        <w:pStyle w:val="ListParagraph"/>
        <w:numPr>
          <w:ilvl w:val="0"/>
          <w:numId w:val="34"/>
        </w:numPr>
        <w:ind w:left="993"/>
      </w:pPr>
      <w:r>
        <w:rPr>
          <w:rStyle w:val="Strong"/>
        </w:rPr>
        <w:t>Data Engineer / DS&amp;AS Analyst:</w:t>
      </w:r>
      <w:r>
        <w:t xml:space="preserve"> Prepares datasets for sharing, applies anonymisation/pseudonymisation techniques, and implements </w:t>
      </w:r>
      <w:r>
        <w:rPr>
          <w:rStyle w:val="Strong"/>
        </w:rPr>
        <w:t>secure transfer mechanisms</w:t>
      </w:r>
      <w:r>
        <w:t>.</w:t>
      </w:r>
    </w:p>
    <w:p w14:paraId="7562DF92" w14:textId="672B8353" w:rsidR="005706DD" w:rsidRDefault="005706DD" w:rsidP="005706DD">
      <w:pPr>
        <w:pStyle w:val="ListParagraph"/>
        <w:numPr>
          <w:ilvl w:val="0"/>
          <w:numId w:val="34"/>
        </w:numPr>
        <w:ind w:left="993"/>
      </w:pPr>
      <w:r>
        <w:rPr>
          <w:rStyle w:val="Strong"/>
        </w:rPr>
        <w:t>Principal Investigator (PI):</w:t>
      </w:r>
      <w:r>
        <w:t xml:space="preserve"> Approves datasets for external sharing and ensures that all collaborators have signed </w:t>
      </w:r>
      <w:r>
        <w:rPr>
          <w:rStyle w:val="Strong"/>
        </w:rPr>
        <w:t>Data Use Agreements (DUAs)</w:t>
      </w:r>
      <w:r>
        <w:t>.</w:t>
      </w:r>
    </w:p>
    <w:p w14:paraId="0B5A002A" w14:textId="77777777" w:rsidR="005706DD" w:rsidRDefault="005706DD" w:rsidP="005706DD">
      <w:pPr>
        <w:pStyle w:val="ListParagraph"/>
        <w:ind w:left="993" w:firstLine="0"/>
      </w:pPr>
    </w:p>
    <w:p w14:paraId="7BAC35F7" w14:textId="42592991" w:rsidR="00A430C0" w:rsidRDefault="00A430C0" w:rsidP="005706DD">
      <w:pPr>
        <w:pStyle w:val="Heading1"/>
      </w:pPr>
      <w:r w:rsidRPr="00E1792A">
        <w:t>FREQUENCY</w:t>
      </w:r>
      <w:bookmarkEnd w:id="11"/>
      <w:bookmarkEnd w:id="12"/>
    </w:p>
    <w:p w14:paraId="6E32A21D" w14:textId="77777777" w:rsidR="005706DD" w:rsidRDefault="005706DD" w:rsidP="005706DD">
      <w:pPr>
        <w:pStyle w:val="ListParagraph"/>
        <w:numPr>
          <w:ilvl w:val="0"/>
          <w:numId w:val="35"/>
        </w:numPr>
      </w:pPr>
      <w:bookmarkStart w:id="13" w:name="_Toc144316962"/>
      <w:r>
        <w:rPr>
          <w:rStyle w:val="Strong"/>
        </w:rPr>
        <w:t>On-demand:</w:t>
      </w:r>
      <w:r>
        <w:t xml:space="preserve"> All data-sharing requests </w:t>
      </w:r>
      <w:proofErr w:type="gramStart"/>
      <w:r>
        <w:t>are processed</w:t>
      </w:r>
      <w:proofErr w:type="gramEnd"/>
      <w:r>
        <w:t xml:space="preserve"> as they arise, prior to any internal or external release.</w:t>
      </w:r>
    </w:p>
    <w:p w14:paraId="6F31E95A" w14:textId="77777777" w:rsidR="005706DD" w:rsidRDefault="005706DD" w:rsidP="005706DD">
      <w:pPr>
        <w:pStyle w:val="ListParagraph"/>
        <w:numPr>
          <w:ilvl w:val="0"/>
          <w:numId w:val="35"/>
        </w:numPr>
      </w:pPr>
      <w:r>
        <w:rPr>
          <w:rStyle w:val="Strong"/>
        </w:rPr>
        <w:t>Periodic audits:</w:t>
      </w:r>
      <w:r>
        <w:t xml:space="preserve"> Compliance with anonymisation, security, and regulatory requirements </w:t>
      </w:r>
      <w:proofErr w:type="gramStart"/>
      <w:r>
        <w:t>is reviewed</w:t>
      </w:r>
      <w:proofErr w:type="gramEnd"/>
      <w:r>
        <w:t xml:space="preserve"> </w:t>
      </w:r>
      <w:r>
        <w:rPr>
          <w:rStyle w:val="Strong"/>
        </w:rPr>
        <w:t>annually</w:t>
      </w:r>
      <w:r>
        <w:t>.</w:t>
      </w:r>
    </w:p>
    <w:p w14:paraId="001236E7" w14:textId="68D224AC" w:rsidR="006E1F63" w:rsidRDefault="005706DD" w:rsidP="005706DD">
      <w:pPr>
        <w:pStyle w:val="ListParagraph"/>
        <w:numPr>
          <w:ilvl w:val="0"/>
          <w:numId w:val="35"/>
        </w:numPr>
      </w:pPr>
      <w:r>
        <w:rPr>
          <w:rStyle w:val="Strong"/>
        </w:rPr>
        <w:t>Triggered reviews:</w:t>
      </w:r>
      <w:r>
        <w:t xml:space="preserve"> Additional audits </w:t>
      </w:r>
      <w:proofErr w:type="gramStart"/>
      <w:r>
        <w:t>are conducted</w:t>
      </w:r>
      <w:proofErr w:type="gramEnd"/>
      <w:r>
        <w:t xml:space="preserve"> following legal/regulatory changes or reported incidents involving data sharing.</w:t>
      </w:r>
    </w:p>
    <w:p w14:paraId="55D0F922" w14:textId="77777777" w:rsidR="006E1F63" w:rsidRDefault="006E1F63" w:rsidP="006E1F63">
      <w:pPr>
        <w:pStyle w:val="NormalWeb"/>
        <w:spacing w:before="0" w:beforeAutospacing="0" w:after="0" w:afterAutospacing="0"/>
      </w:pP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3"/>
    </w:p>
    <w:p w14:paraId="75AE6963" w14:textId="77777777" w:rsidR="005706DD" w:rsidRDefault="005706DD" w:rsidP="005706DD">
      <w:pPr>
        <w:pStyle w:val="ListParagraph"/>
        <w:numPr>
          <w:ilvl w:val="0"/>
          <w:numId w:val="36"/>
        </w:numPr>
      </w:pPr>
      <w:bookmarkStart w:id="14" w:name="_Toc144203934"/>
      <w:bookmarkStart w:id="15" w:name="_Toc144316963"/>
      <w:r>
        <w:rPr>
          <w:rStyle w:val="Strong"/>
        </w:rPr>
        <w:t>Data Sharing Agreement (DSA) templates</w:t>
      </w:r>
      <w:r>
        <w:t xml:space="preserve"> – for formalizing data use terms with collaborators.</w:t>
      </w:r>
    </w:p>
    <w:p w14:paraId="7CF94101" w14:textId="77777777" w:rsidR="005706DD" w:rsidRDefault="005706DD" w:rsidP="005706DD">
      <w:pPr>
        <w:pStyle w:val="ListParagraph"/>
        <w:numPr>
          <w:ilvl w:val="0"/>
          <w:numId w:val="36"/>
        </w:numPr>
      </w:pPr>
      <w:r>
        <w:rPr>
          <w:rStyle w:val="Strong"/>
        </w:rPr>
        <w:t>Secure transfer tools</w:t>
      </w:r>
      <w:r>
        <w:t xml:space="preserve"> – SFTP, VPN, HTTPS/SSL, or other institutional encrypted channels.</w:t>
      </w:r>
    </w:p>
    <w:p w14:paraId="39C8A0C1" w14:textId="77777777" w:rsidR="005706DD" w:rsidRDefault="005706DD" w:rsidP="005706DD">
      <w:pPr>
        <w:pStyle w:val="ListParagraph"/>
        <w:numPr>
          <w:ilvl w:val="0"/>
          <w:numId w:val="36"/>
        </w:numPr>
      </w:pPr>
      <w:r>
        <w:rPr>
          <w:rStyle w:val="Strong"/>
        </w:rPr>
        <w:t>Anonymisation and pseudonymisation tools</w:t>
      </w:r>
      <w:r>
        <w:t xml:space="preserve"> – R/Python scripts, </w:t>
      </w:r>
      <w:proofErr w:type="spellStart"/>
      <w:r>
        <w:t>sdcMicro</w:t>
      </w:r>
      <w:proofErr w:type="spellEnd"/>
      <w:r>
        <w:t>, ARX, or differential privacy tools.</w:t>
      </w:r>
    </w:p>
    <w:p w14:paraId="6492BCE9" w14:textId="77777777" w:rsidR="005706DD" w:rsidRDefault="005706DD" w:rsidP="005706DD">
      <w:pPr>
        <w:pStyle w:val="ListParagraph"/>
        <w:numPr>
          <w:ilvl w:val="0"/>
          <w:numId w:val="36"/>
        </w:numPr>
      </w:pPr>
      <w:r>
        <w:t xml:space="preserve"> </w:t>
      </w:r>
      <w:r>
        <w:rPr>
          <w:rStyle w:val="Strong"/>
        </w:rPr>
        <w:t>Data dictionaries and metadata templates</w:t>
      </w:r>
      <w:r>
        <w:t xml:space="preserve"> – to accompany shared datasets for clarity and reproducibility.</w:t>
      </w:r>
    </w:p>
    <w:p w14:paraId="1ADB2153" w14:textId="6C661713" w:rsidR="005706DD" w:rsidRDefault="005706DD" w:rsidP="005706DD">
      <w:pPr>
        <w:pStyle w:val="ListParagraph"/>
        <w:numPr>
          <w:ilvl w:val="0"/>
          <w:numId w:val="36"/>
        </w:numPr>
      </w:pPr>
      <w:r>
        <w:rPr>
          <w:rStyle w:val="Strong"/>
        </w:rPr>
        <w:t>Compliance checklists</w:t>
      </w:r>
      <w:r>
        <w:t xml:space="preserve"> – to verify legal, ethical, and institutional requirements before sharing.</w:t>
      </w:r>
    </w:p>
    <w:p w14:paraId="2D7A944A" w14:textId="77777777" w:rsidR="005706DD" w:rsidRDefault="005706DD" w:rsidP="005706DD">
      <w:pPr>
        <w:pStyle w:val="Heading1"/>
        <w:numPr>
          <w:ilvl w:val="0"/>
          <w:numId w:val="0"/>
        </w:numPr>
        <w:ind w:left="432"/>
      </w:pPr>
    </w:p>
    <w:p w14:paraId="5DA3612C" w14:textId="4B32ABB5" w:rsidR="00BE6611" w:rsidRDefault="00A430C0" w:rsidP="006931D1">
      <w:pPr>
        <w:pStyle w:val="Heading1"/>
      </w:pPr>
      <w:r w:rsidRPr="00E1792A">
        <w:t>PROCEDURE</w:t>
      </w:r>
      <w:bookmarkEnd w:id="14"/>
      <w:bookmarkEnd w:id="15"/>
    </w:p>
    <w:p w14:paraId="41FAA8F7" w14:textId="1986084C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Request Submission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 xml:space="preserve">• Collaborators submit a formal </w:t>
      </w:r>
      <w:r w:rsidRPr="006931D1">
        <w:rPr>
          <w:b/>
          <w:bCs/>
        </w:rPr>
        <w:t>Data Sharing Request</w:t>
      </w:r>
      <w:r w:rsidRPr="006931D1">
        <w:t xml:space="preserve"> specifying dataset, purpose, and intended use.</w:t>
      </w:r>
    </w:p>
    <w:p w14:paraId="4830D935" w14:textId="2BBCADCC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Pre-Review:</w:t>
      </w:r>
      <w:r w:rsidRPr="006931D1">
        <w:br/>
      </w:r>
      <w:r w:rsidRPr="006931D1">
        <w:t> </w:t>
      </w:r>
      <w:r w:rsidRPr="006931D1">
        <w:t>• DS&amp;AS verifies dataset availability, classification (Open, Restricted, Confidential), and internal readiness for sharing.</w:t>
      </w:r>
    </w:p>
    <w:p w14:paraId="1509990D" w14:textId="16A76F16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Compliance Review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 xml:space="preserve">• DPO reviews request against </w:t>
      </w:r>
      <w:r w:rsidRPr="006931D1">
        <w:rPr>
          <w:b/>
          <w:bCs/>
        </w:rPr>
        <w:t>Kenya Data Protection Act (2019)</w:t>
      </w:r>
      <w:r w:rsidRPr="006931D1">
        <w:t>, GDPR, institutional policies, and ethical approvals.</w:t>
      </w:r>
      <w:r w:rsidRPr="006931D1">
        <w:br/>
      </w:r>
      <w:r w:rsidRPr="006931D1">
        <w:t> </w:t>
      </w:r>
      <w:r w:rsidRPr="006931D1">
        <w:t xml:space="preserve">• Any conditions for data use </w:t>
      </w:r>
      <w:proofErr w:type="gramStart"/>
      <w:r w:rsidRPr="006931D1">
        <w:t>are documented</w:t>
      </w:r>
      <w:proofErr w:type="gramEnd"/>
      <w:r w:rsidRPr="006931D1">
        <w:t>.</w:t>
      </w:r>
    </w:p>
    <w:p w14:paraId="2C41568C" w14:textId="6895CA89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Anonymisation / Pseudonymisation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>• DS&amp;AS Analyst/Data Engineer applies appropriate de-identification techniques to protect sensitive fields.</w:t>
      </w:r>
      <w:r w:rsidRPr="006931D1">
        <w:br/>
      </w:r>
      <w:r w:rsidRPr="006931D1">
        <w:t> </w:t>
      </w:r>
      <w:r w:rsidRPr="006931D1">
        <w:t xml:space="preserve">• Metadata and data dictionaries </w:t>
      </w:r>
      <w:proofErr w:type="gramStart"/>
      <w:r w:rsidRPr="006931D1">
        <w:t>are updated</w:t>
      </w:r>
      <w:proofErr w:type="gramEnd"/>
      <w:r w:rsidRPr="006931D1">
        <w:t xml:space="preserve"> to accompany the shared dataset.</w:t>
      </w:r>
    </w:p>
    <w:p w14:paraId="61A215FE" w14:textId="7DEFA71E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Approval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>• Head of DS&amp;AS reviews anonymisation, compliance checks, and authorizes dataset release.</w:t>
      </w:r>
      <w:r w:rsidRPr="006931D1">
        <w:br/>
      </w:r>
      <w:r w:rsidRPr="006931D1">
        <w:t> </w:t>
      </w:r>
      <w:r w:rsidRPr="006931D1">
        <w:t xml:space="preserve">• PI confirms that all collaborators have signed </w:t>
      </w:r>
      <w:r w:rsidRPr="006931D1">
        <w:rPr>
          <w:b/>
          <w:bCs/>
        </w:rPr>
        <w:t>Data Use Agreements (DUAs)</w:t>
      </w:r>
      <w:r w:rsidRPr="006931D1">
        <w:t>.</w:t>
      </w:r>
    </w:p>
    <w:p w14:paraId="2232A903" w14:textId="3A2E934F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Secure Transfer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 xml:space="preserve">• Data is shared via </w:t>
      </w:r>
      <w:r w:rsidRPr="006931D1">
        <w:rPr>
          <w:b/>
          <w:bCs/>
        </w:rPr>
        <w:t>encrypted channels</w:t>
      </w:r>
      <w:r w:rsidRPr="006931D1">
        <w:t xml:space="preserve"> (SFTP, VPN, HTTPS/SSL).</w:t>
      </w:r>
      <w:r w:rsidRPr="006931D1">
        <w:br/>
      </w:r>
      <w:r w:rsidRPr="006931D1">
        <w:t> </w:t>
      </w:r>
      <w:r w:rsidRPr="006931D1">
        <w:t xml:space="preserve">• All access and transfer events </w:t>
      </w:r>
      <w:proofErr w:type="gramStart"/>
      <w:r w:rsidRPr="006931D1">
        <w:t>are logged</w:t>
      </w:r>
      <w:proofErr w:type="gramEnd"/>
      <w:r w:rsidRPr="006931D1">
        <w:t xml:space="preserve"> in the DS&amp;AS </w:t>
      </w:r>
      <w:r w:rsidRPr="006931D1">
        <w:rPr>
          <w:b/>
          <w:bCs/>
        </w:rPr>
        <w:t>Data Sharing Log</w:t>
      </w:r>
      <w:r w:rsidRPr="006931D1">
        <w:t>.</w:t>
      </w:r>
    </w:p>
    <w:p w14:paraId="0C8A959C" w14:textId="69B880EF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Archiving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>• Copies of shared datasets, approvals, anonymisation records, and DUAs are stored in the institutional repository with version control.</w:t>
      </w:r>
    </w:p>
    <w:p w14:paraId="3B9A3A05" w14:textId="4F902008" w:rsidR="006931D1" w:rsidRPr="006931D1" w:rsidRDefault="006931D1" w:rsidP="006931D1">
      <w:pPr>
        <w:pStyle w:val="ListParagraph"/>
        <w:numPr>
          <w:ilvl w:val="0"/>
          <w:numId w:val="38"/>
        </w:numPr>
      </w:pPr>
      <w:r w:rsidRPr="006931D1">
        <w:rPr>
          <w:b/>
          <w:bCs/>
        </w:rPr>
        <w:t>Compliance Audit</w:t>
      </w:r>
      <w:proofErr w:type="gramStart"/>
      <w:r w:rsidRPr="006931D1">
        <w:rPr>
          <w:b/>
          <w:bCs/>
        </w:rPr>
        <w:t>:</w:t>
      </w:r>
      <w:proofErr w:type="gramEnd"/>
      <w:r w:rsidRPr="006931D1">
        <w:br/>
      </w:r>
      <w:r w:rsidRPr="006931D1">
        <w:t> </w:t>
      </w:r>
      <w:r w:rsidRPr="006931D1">
        <w:t>• Annual audits are conducted to ensure that all shared datasets, procedures, and logs comply with legal, ethical, and institutional standards.</w:t>
      </w:r>
      <w:r w:rsidRPr="006931D1">
        <w:br/>
      </w:r>
      <w:r w:rsidRPr="006931D1">
        <w:t> </w:t>
      </w:r>
      <w:r w:rsidRPr="006931D1">
        <w:t>• Interim reviews triggered by incidents or regulatory updates.</w:t>
      </w:r>
    </w:p>
    <w:p w14:paraId="3D820F2F" w14:textId="77777777" w:rsidR="00C93F17" w:rsidRPr="002435E5" w:rsidRDefault="00C93F17" w:rsidP="006E1F63">
      <w:pPr>
        <w:pStyle w:val="NormalWeb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0E9405DE" w14:textId="376CC053" w:rsidR="009E3771" w:rsidRDefault="002435E5" w:rsidP="006E1F63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6C820792" w14:textId="77777777" w:rsidR="006931D1" w:rsidRPr="006931D1" w:rsidRDefault="006931D1" w:rsidP="006931D1">
      <w:pPr>
        <w:pStyle w:val="ListParagraph"/>
        <w:numPr>
          <w:ilvl w:val="0"/>
          <w:numId w:val="41"/>
        </w:numPr>
        <w:ind w:left="851"/>
        <w:rPr>
          <w:color w:val="auto"/>
        </w:rPr>
      </w:pPr>
      <w:r>
        <w:t>Kenya Data Protection Act (2019) and amendments.</w:t>
      </w:r>
    </w:p>
    <w:p w14:paraId="53694BB9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General Data Protection Regulation (GDPR) (Regulation (EU) 2016/679).</w:t>
      </w:r>
    </w:p>
    <w:p w14:paraId="098AD067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KIPRE Institutional Data Protection and Sharing Policy (2024).</w:t>
      </w:r>
    </w:p>
    <w:p w14:paraId="2D69AAE1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FAIR Data Principles (Wilkinson et al., 2016).</w:t>
      </w:r>
    </w:p>
    <w:p w14:paraId="49CD3AB3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HIPAA – Health Insurance Portability and Accountability Act (1996).</w:t>
      </w:r>
    </w:p>
    <w:p w14:paraId="6151D15F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ISO/IEC 27001:2022 – Information Security Management Systems.</w:t>
      </w:r>
    </w:p>
    <w:p w14:paraId="1ADA1C61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DS&amp;AS SOP 1 – Policies and Strategies.</w:t>
      </w:r>
    </w:p>
    <w:p w14:paraId="3C7F7A2C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DS&amp;AS SOP 2 – Alignment with Institutional and National Regulations.</w:t>
      </w:r>
    </w:p>
    <w:p w14:paraId="017EC806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DS&amp;AS SOP 6 – Data Access and Authentication Procedures.</w:t>
      </w:r>
    </w:p>
    <w:p w14:paraId="77CC4014" w14:textId="77777777" w:rsidR="006931D1" w:rsidRDefault="006931D1" w:rsidP="006931D1">
      <w:pPr>
        <w:pStyle w:val="ListParagraph"/>
        <w:numPr>
          <w:ilvl w:val="0"/>
          <w:numId w:val="41"/>
        </w:numPr>
        <w:ind w:left="851"/>
      </w:pPr>
      <w:r>
        <w:t>DS&amp;AS SOP 8 – Database and Workflow Management.</w:t>
      </w:r>
    </w:p>
    <w:p w14:paraId="71C33E6B" w14:textId="03B7369A" w:rsidR="006931D1" w:rsidRDefault="006931D1" w:rsidP="006931D1"/>
    <w:p w14:paraId="6A3E7DB0" w14:textId="6281975A" w:rsidR="006931D1" w:rsidRDefault="006931D1" w:rsidP="006931D1">
      <w:pPr>
        <w:pStyle w:val="Heading1"/>
      </w:pPr>
      <w:r>
        <w:rPr>
          <w:rStyle w:val="Strong"/>
          <w:b/>
          <w:bCs w:val="0"/>
        </w:rPr>
        <w:t>APPENDICES</w:t>
      </w:r>
    </w:p>
    <w:p w14:paraId="7A68BBA6" w14:textId="77777777" w:rsidR="006931D1" w:rsidRDefault="006931D1" w:rsidP="006931D1">
      <w:r>
        <w:rPr>
          <w:rStyle w:val="Strong"/>
        </w:rPr>
        <w:t>Appendix 9.1 – Forms and Templates</w:t>
      </w:r>
    </w:p>
    <w:p w14:paraId="1EF3D308" w14:textId="77777777" w:rsidR="006931D1" w:rsidRDefault="006931D1" w:rsidP="006931D1">
      <w:pPr>
        <w:pStyle w:val="ListParagraph"/>
        <w:numPr>
          <w:ilvl w:val="0"/>
          <w:numId w:val="42"/>
        </w:numPr>
      </w:pPr>
      <w:r>
        <w:rPr>
          <w:rStyle w:val="Strong"/>
        </w:rPr>
        <w:t>Data Sharing Request Form</w:t>
      </w:r>
      <w:r>
        <w:t xml:space="preserve"> – for collaborators to specify dataset and intended use.</w:t>
      </w:r>
    </w:p>
    <w:p w14:paraId="0AF399F9" w14:textId="77777777" w:rsidR="006931D1" w:rsidRDefault="006931D1" w:rsidP="006931D1">
      <w:pPr>
        <w:pStyle w:val="ListParagraph"/>
        <w:numPr>
          <w:ilvl w:val="0"/>
          <w:numId w:val="42"/>
        </w:numPr>
      </w:pPr>
      <w:r>
        <w:rPr>
          <w:rStyle w:val="Strong"/>
        </w:rPr>
        <w:t>Data Use Agreement (DUA) Template</w:t>
      </w:r>
      <w:r>
        <w:t xml:space="preserve"> – formal agreement outlining terms of use, security, and compliance.</w:t>
      </w:r>
    </w:p>
    <w:p w14:paraId="3E66A48C" w14:textId="77777777" w:rsidR="006931D1" w:rsidRDefault="006931D1" w:rsidP="006931D1">
      <w:pPr>
        <w:pStyle w:val="ListParagraph"/>
        <w:numPr>
          <w:ilvl w:val="0"/>
          <w:numId w:val="42"/>
        </w:numPr>
      </w:pPr>
      <w:r>
        <w:rPr>
          <w:rStyle w:val="Strong"/>
        </w:rPr>
        <w:t>Anonymisation / Pseudonymisation Checklist</w:t>
      </w:r>
      <w:r>
        <w:t xml:space="preserve"> – verifies all sensitive fields are appropriately de-identified.</w:t>
      </w:r>
    </w:p>
    <w:p w14:paraId="02C36674" w14:textId="77777777" w:rsidR="006931D1" w:rsidRDefault="006931D1" w:rsidP="006931D1">
      <w:pPr>
        <w:pStyle w:val="ListParagraph"/>
        <w:numPr>
          <w:ilvl w:val="0"/>
          <w:numId w:val="42"/>
        </w:numPr>
      </w:pPr>
      <w:r>
        <w:rPr>
          <w:rStyle w:val="Strong"/>
        </w:rPr>
        <w:t>Data Sharing Log Template</w:t>
      </w:r>
      <w:r>
        <w:t xml:space="preserve"> – records dataset shared, recipients, approval dates, and transfer method.</w:t>
      </w:r>
    </w:p>
    <w:p w14:paraId="1B6F58E6" w14:textId="77777777" w:rsidR="006931D1" w:rsidRDefault="006931D1" w:rsidP="006931D1">
      <w:pPr>
        <w:ind w:left="288" w:firstLine="0"/>
        <w:rPr>
          <w:rStyle w:val="Strong"/>
        </w:rPr>
      </w:pPr>
      <w:r>
        <w:rPr>
          <w:rStyle w:val="Strong"/>
        </w:rPr>
        <w:t>Appendix 9.2 – Tools and Systems</w:t>
      </w:r>
    </w:p>
    <w:p w14:paraId="43CD2B65" w14:textId="77777777" w:rsidR="006931D1" w:rsidRDefault="006931D1" w:rsidP="006931D1">
      <w:pPr>
        <w:ind w:left="0" w:firstLine="0"/>
      </w:pPr>
    </w:p>
    <w:p w14:paraId="333C4B0B" w14:textId="77777777" w:rsidR="006931D1" w:rsidRDefault="006931D1" w:rsidP="006931D1">
      <w:pPr>
        <w:pStyle w:val="ListParagraph"/>
        <w:numPr>
          <w:ilvl w:val="0"/>
          <w:numId w:val="44"/>
        </w:numPr>
      </w:pPr>
      <w:r w:rsidRPr="006931D1">
        <w:t>Anonymisation Tools: R packages (</w:t>
      </w:r>
      <w:proofErr w:type="spellStart"/>
      <w:r w:rsidRPr="006931D1">
        <w:t>sdcMicro</w:t>
      </w:r>
      <w:proofErr w:type="spellEnd"/>
      <w:r w:rsidRPr="006931D1">
        <w:t>), Python scripts, ARX, di</w:t>
      </w:r>
      <w:r>
        <w:t>fferential privacy frameworks.</w:t>
      </w:r>
    </w:p>
    <w:p w14:paraId="6C0EC66B" w14:textId="77777777" w:rsidR="006931D1" w:rsidRDefault="006931D1" w:rsidP="006931D1">
      <w:pPr>
        <w:pStyle w:val="ListParagraph"/>
        <w:numPr>
          <w:ilvl w:val="0"/>
          <w:numId w:val="44"/>
        </w:numPr>
      </w:pPr>
      <w:r w:rsidRPr="006931D1">
        <w:t xml:space="preserve"> Secure Transfer Tools: SFTP, VPN, </w:t>
      </w:r>
      <w:proofErr w:type="gramStart"/>
      <w:r w:rsidRPr="006931D1">
        <w:t>HTTPS</w:t>
      </w:r>
      <w:proofErr w:type="gramEnd"/>
      <w:r w:rsidRPr="006931D1">
        <w:t>/</w:t>
      </w:r>
      <w:r>
        <w:t>SSL, encrypted cloud storage.</w:t>
      </w:r>
    </w:p>
    <w:p w14:paraId="0C3202CE" w14:textId="77777777" w:rsidR="006931D1" w:rsidRDefault="006931D1" w:rsidP="006931D1">
      <w:pPr>
        <w:pStyle w:val="ListParagraph"/>
        <w:numPr>
          <w:ilvl w:val="0"/>
          <w:numId w:val="44"/>
        </w:numPr>
      </w:pPr>
      <w:r w:rsidRPr="006931D1">
        <w:t>Documentation Tools: Data dictionaries, metad</w:t>
      </w:r>
      <w:r>
        <w:t>ata templates, workflow logs.</w:t>
      </w:r>
    </w:p>
    <w:p w14:paraId="1D3E3095" w14:textId="75A26290" w:rsidR="006931D1" w:rsidRPr="006931D1" w:rsidRDefault="006931D1" w:rsidP="006931D1">
      <w:pPr>
        <w:pStyle w:val="ListParagraph"/>
        <w:numPr>
          <w:ilvl w:val="0"/>
          <w:numId w:val="44"/>
        </w:numPr>
      </w:pPr>
      <w:r w:rsidRPr="006931D1">
        <w:t>Compliance Monitoring: DS&amp;AS Data Sharing Dashboard and version-controlled repository.</w:t>
      </w: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B25D8" w14:textId="77777777" w:rsidR="007125EB" w:rsidRDefault="007125EB">
      <w:pPr>
        <w:spacing w:after="0" w:line="240" w:lineRule="auto"/>
      </w:pPr>
      <w:r>
        <w:separator/>
      </w:r>
    </w:p>
  </w:endnote>
  <w:endnote w:type="continuationSeparator" w:id="0">
    <w:p w14:paraId="42D9A0B3" w14:textId="77777777" w:rsidR="007125EB" w:rsidRDefault="0071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28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528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DD3C9" w14:textId="77777777" w:rsidR="007125EB" w:rsidRDefault="007125EB">
      <w:pPr>
        <w:spacing w:after="0" w:line="240" w:lineRule="auto"/>
      </w:pPr>
      <w:r>
        <w:separator/>
      </w:r>
    </w:p>
  </w:footnote>
  <w:footnote w:type="continuationSeparator" w:id="0">
    <w:p w14:paraId="17E6C59D" w14:textId="77777777" w:rsidR="007125EB" w:rsidRDefault="0071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E07F5"/>
    <w:multiLevelType w:val="hybridMultilevel"/>
    <w:tmpl w:val="37C4C2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419E"/>
    <w:multiLevelType w:val="hybridMultilevel"/>
    <w:tmpl w:val="0FBE36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2A028B5"/>
    <w:multiLevelType w:val="multilevel"/>
    <w:tmpl w:val="C3D8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76507"/>
    <w:multiLevelType w:val="multilevel"/>
    <w:tmpl w:val="92B6EEA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D67C2D"/>
    <w:multiLevelType w:val="hybridMultilevel"/>
    <w:tmpl w:val="5E9853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19806F9"/>
    <w:multiLevelType w:val="multilevel"/>
    <w:tmpl w:val="551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26DC4"/>
    <w:multiLevelType w:val="multilevel"/>
    <w:tmpl w:val="6CA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D41C4"/>
    <w:multiLevelType w:val="hybridMultilevel"/>
    <w:tmpl w:val="73B67D30"/>
    <w:lvl w:ilvl="0" w:tplc="0409000F">
      <w:start w:val="1"/>
      <w:numFmt w:val="decimal"/>
      <w:lvlText w:val="%1."/>
      <w:lvlJc w:val="left"/>
      <w:pPr>
        <w:ind w:left="3262" w:hanging="360"/>
      </w:pPr>
    </w:lvl>
    <w:lvl w:ilvl="1" w:tplc="04090019" w:tentative="1">
      <w:start w:val="1"/>
      <w:numFmt w:val="lowerLetter"/>
      <w:lvlText w:val="%2."/>
      <w:lvlJc w:val="left"/>
      <w:pPr>
        <w:ind w:left="3982" w:hanging="360"/>
      </w:pPr>
    </w:lvl>
    <w:lvl w:ilvl="2" w:tplc="0409001B" w:tentative="1">
      <w:start w:val="1"/>
      <w:numFmt w:val="lowerRoman"/>
      <w:lvlText w:val="%3."/>
      <w:lvlJc w:val="right"/>
      <w:pPr>
        <w:ind w:left="4702" w:hanging="180"/>
      </w:pPr>
    </w:lvl>
    <w:lvl w:ilvl="3" w:tplc="0409000F" w:tentative="1">
      <w:start w:val="1"/>
      <w:numFmt w:val="decimal"/>
      <w:lvlText w:val="%4."/>
      <w:lvlJc w:val="left"/>
      <w:pPr>
        <w:ind w:left="5422" w:hanging="360"/>
      </w:pPr>
    </w:lvl>
    <w:lvl w:ilvl="4" w:tplc="04090019" w:tentative="1">
      <w:start w:val="1"/>
      <w:numFmt w:val="lowerLetter"/>
      <w:lvlText w:val="%5."/>
      <w:lvlJc w:val="left"/>
      <w:pPr>
        <w:ind w:left="6142" w:hanging="360"/>
      </w:pPr>
    </w:lvl>
    <w:lvl w:ilvl="5" w:tplc="0409001B" w:tentative="1">
      <w:start w:val="1"/>
      <w:numFmt w:val="lowerRoman"/>
      <w:lvlText w:val="%6."/>
      <w:lvlJc w:val="right"/>
      <w:pPr>
        <w:ind w:left="6862" w:hanging="180"/>
      </w:pPr>
    </w:lvl>
    <w:lvl w:ilvl="6" w:tplc="0409000F" w:tentative="1">
      <w:start w:val="1"/>
      <w:numFmt w:val="decimal"/>
      <w:lvlText w:val="%7."/>
      <w:lvlJc w:val="left"/>
      <w:pPr>
        <w:ind w:left="7582" w:hanging="360"/>
      </w:pPr>
    </w:lvl>
    <w:lvl w:ilvl="7" w:tplc="04090019" w:tentative="1">
      <w:start w:val="1"/>
      <w:numFmt w:val="lowerLetter"/>
      <w:lvlText w:val="%8."/>
      <w:lvlJc w:val="left"/>
      <w:pPr>
        <w:ind w:left="8302" w:hanging="360"/>
      </w:pPr>
    </w:lvl>
    <w:lvl w:ilvl="8" w:tplc="0409001B" w:tentative="1">
      <w:start w:val="1"/>
      <w:numFmt w:val="lowerRoman"/>
      <w:lvlText w:val="%9."/>
      <w:lvlJc w:val="right"/>
      <w:pPr>
        <w:ind w:left="9022" w:hanging="180"/>
      </w:pPr>
    </w:lvl>
  </w:abstractNum>
  <w:abstractNum w:abstractNumId="1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43C0E5B"/>
    <w:multiLevelType w:val="hybridMultilevel"/>
    <w:tmpl w:val="B67E79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E0701"/>
    <w:multiLevelType w:val="multilevel"/>
    <w:tmpl w:val="CD58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721B0"/>
    <w:multiLevelType w:val="hybridMultilevel"/>
    <w:tmpl w:val="080891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61C3C"/>
    <w:multiLevelType w:val="hybridMultilevel"/>
    <w:tmpl w:val="D8164B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310457F"/>
    <w:multiLevelType w:val="hybridMultilevel"/>
    <w:tmpl w:val="AF1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C31018"/>
    <w:multiLevelType w:val="hybridMultilevel"/>
    <w:tmpl w:val="43CE8D44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 w15:restartNumberingAfterBreak="0">
    <w:nsid w:val="6D272E2F"/>
    <w:multiLevelType w:val="hybridMultilevel"/>
    <w:tmpl w:val="E45081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75CE3603"/>
    <w:multiLevelType w:val="hybridMultilevel"/>
    <w:tmpl w:val="B3B6EDF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B21A4E"/>
    <w:multiLevelType w:val="hybridMultilevel"/>
    <w:tmpl w:val="6E762B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8F066E34">
      <w:start w:val="8"/>
      <w:numFmt w:val="bullet"/>
      <w:lvlText w:val="•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2"/>
    </w:lvlOverride>
  </w:num>
  <w:num w:numId="4">
    <w:abstractNumId w:val="32"/>
  </w:num>
  <w:num w:numId="5">
    <w:abstractNumId w:val="40"/>
  </w:num>
  <w:num w:numId="6">
    <w:abstractNumId w:val="36"/>
  </w:num>
  <w:num w:numId="7">
    <w:abstractNumId w:val="14"/>
    <w:lvlOverride w:ilvl="0">
      <w:startOverride w:val="1"/>
    </w:lvlOverride>
  </w:num>
  <w:num w:numId="8">
    <w:abstractNumId w:val="26"/>
  </w:num>
  <w:num w:numId="9">
    <w:abstractNumId w:val="22"/>
  </w:num>
  <w:num w:numId="10">
    <w:abstractNumId w:val="31"/>
  </w:num>
  <w:num w:numId="11">
    <w:abstractNumId w:val="38"/>
  </w:num>
  <w:num w:numId="12">
    <w:abstractNumId w:val="20"/>
  </w:num>
  <w:num w:numId="13">
    <w:abstractNumId w:val="18"/>
  </w:num>
  <w:num w:numId="14">
    <w:abstractNumId w:val="6"/>
  </w:num>
  <w:num w:numId="15">
    <w:abstractNumId w:val="16"/>
  </w:num>
  <w:num w:numId="16">
    <w:abstractNumId w:val="7"/>
  </w:num>
  <w:num w:numId="17">
    <w:abstractNumId w:val="27"/>
  </w:num>
  <w:num w:numId="18">
    <w:abstractNumId w:val="29"/>
  </w:num>
  <w:num w:numId="19">
    <w:abstractNumId w:val="33"/>
  </w:num>
  <w:num w:numId="20">
    <w:abstractNumId w:val="37"/>
  </w:num>
  <w:num w:numId="21">
    <w:abstractNumId w:val="2"/>
  </w:num>
  <w:num w:numId="22">
    <w:abstractNumId w:val="3"/>
  </w:num>
  <w:num w:numId="23">
    <w:abstractNumId w:val="28"/>
  </w:num>
  <w:num w:numId="24">
    <w:abstractNumId w:val="21"/>
  </w:num>
  <w:num w:numId="25">
    <w:abstractNumId w:val="30"/>
  </w:num>
  <w:num w:numId="26">
    <w:abstractNumId w:val="11"/>
  </w:num>
  <w:num w:numId="27">
    <w:abstractNumId w:val="23"/>
  </w:num>
  <w:num w:numId="28">
    <w:abstractNumId w:val="25"/>
  </w:num>
  <w:num w:numId="29">
    <w:abstractNumId w:val="10"/>
  </w:num>
  <w:num w:numId="30">
    <w:abstractNumId w:val="4"/>
  </w:num>
  <w:num w:numId="31">
    <w:abstractNumId w:val="12"/>
  </w:num>
  <w:num w:numId="32">
    <w:abstractNumId w:val="42"/>
  </w:num>
  <w:num w:numId="33">
    <w:abstractNumId w:val="35"/>
  </w:num>
  <w:num w:numId="34">
    <w:abstractNumId w:val="34"/>
  </w:num>
  <w:num w:numId="35">
    <w:abstractNumId w:val="19"/>
  </w:num>
  <w:num w:numId="36">
    <w:abstractNumId w:val="24"/>
  </w:num>
  <w:num w:numId="37">
    <w:abstractNumId w:val="15"/>
  </w:num>
  <w:num w:numId="38">
    <w:abstractNumId w:val="8"/>
  </w:num>
  <w:num w:numId="39">
    <w:abstractNumId w:val="5"/>
  </w:num>
  <w:num w:numId="40">
    <w:abstractNumId w:val="17"/>
  </w:num>
  <w:num w:numId="41">
    <w:abstractNumId w:val="13"/>
  </w:num>
  <w:num w:numId="42">
    <w:abstractNumId w:val="39"/>
  </w:num>
  <w:num w:numId="43">
    <w:abstractNumId w:val="9"/>
  </w:num>
  <w:num w:numId="4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07754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282F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06DD"/>
    <w:rsid w:val="0057101F"/>
    <w:rsid w:val="005A0490"/>
    <w:rsid w:val="005A07C4"/>
    <w:rsid w:val="005A6BBB"/>
    <w:rsid w:val="005B0652"/>
    <w:rsid w:val="005C2000"/>
    <w:rsid w:val="005D251A"/>
    <w:rsid w:val="005D3141"/>
    <w:rsid w:val="005D336C"/>
    <w:rsid w:val="005D5AB8"/>
    <w:rsid w:val="005E44B3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31D1"/>
    <w:rsid w:val="006970A8"/>
    <w:rsid w:val="006A62C5"/>
    <w:rsid w:val="006A76BD"/>
    <w:rsid w:val="006A79BA"/>
    <w:rsid w:val="006B4798"/>
    <w:rsid w:val="006D3EF3"/>
    <w:rsid w:val="006E175C"/>
    <w:rsid w:val="006E1F63"/>
    <w:rsid w:val="006F2417"/>
    <w:rsid w:val="006F3370"/>
    <w:rsid w:val="006F36C2"/>
    <w:rsid w:val="00707046"/>
    <w:rsid w:val="007125EB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757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161B4"/>
    <w:rsid w:val="00A3241D"/>
    <w:rsid w:val="00A3567D"/>
    <w:rsid w:val="00A41052"/>
    <w:rsid w:val="00A430C0"/>
    <w:rsid w:val="00A51C24"/>
    <w:rsid w:val="00A64ED6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93C41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517F-DFB0-4A64-9F1C-8BDC836F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/>
      <vt:lpstr>PROCEDURE</vt:lpstr>
      <vt:lpstr>REFERENCES</vt:lpstr>
      <vt:lpstr>APPENDICES</vt:lpstr>
    </vt:vector>
  </TitlesOfParts>
  <Company>Deftones</Company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10</cp:revision>
  <cp:lastPrinted>2025-10-07T14:22:00Z</cp:lastPrinted>
  <dcterms:created xsi:type="dcterms:W3CDTF">2025-10-06T09:51:00Z</dcterms:created>
  <dcterms:modified xsi:type="dcterms:W3CDTF">2025-10-07T14:23:00Z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