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8220B" w:rsidRPr="0008220B" w:rsidRDefault="0008220B" w:rsidP="000822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b/>
          <w:color w:val="000000"/>
          <w:sz w:val="20"/>
          <w:szCs w:val="20"/>
        </w:rPr>
      </w:pPr>
      <w:r w:rsidRPr="0008220B">
        <w:rPr>
          <w:rFonts w:ascii="Arial" w:eastAsia="Times New Roman" w:hAnsi="Arial" w:cs="Arial"/>
          <w:b/>
          <w:color w:val="000000"/>
          <w:sz w:val="20"/>
          <w:szCs w:val="20"/>
        </w:rPr>
        <w:t xml:space="preserve">Predictive Models for Cancer Risk in TP53 Germline Mutation Carriers </w:t>
      </w:r>
    </w:p>
    <w:p w:rsidR="0008220B" w:rsidRPr="0008220B" w:rsidRDefault="0008220B" w:rsidP="000822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000000"/>
          <w:sz w:val="20"/>
          <w:szCs w:val="20"/>
        </w:rPr>
      </w:pPr>
      <w:r w:rsidRPr="0008220B">
        <w:rPr>
          <w:rFonts w:ascii="Arial" w:eastAsia="Times New Roman" w:hAnsi="Arial" w:cs="Arial"/>
          <w:color w:val="000000"/>
          <w:sz w:val="20"/>
          <w:szCs w:val="20"/>
        </w:rPr>
        <w:t xml:space="preserve">Germline mutations in the TP53 gene (Li-Fraumeni syndrome), is a rare inherited cancer predisposition syndrome characterized by a very high lifetime risk of multiple cancers at young ages. Despite the clear genetic risk, the expression of cancer among carriers shows large variability. </w:t>
      </w:r>
      <w:r w:rsidRPr="0008220B">
        <w:rPr>
          <w:rFonts w:ascii="Arial" w:eastAsia="Times New Roman" w:hAnsi="Arial" w:cs="Arial"/>
          <w:color w:val="000000"/>
          <w:sz w:val="20"/>
          <w:szCs w:val="20"/>
        </w:rPr>
        <w:br/>
      </w:r>
    </w:p>
    <w:p w:rsidR="0008220B" w:rsidRPr="0008220B" w:rsidRDefault="0008220B" w:rsidP="000822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000000"/>
          <w:sz w:val="20"/>
          <w:szCs w:val="20"/>
        </w:rPr>
      </w:pPr>
      <w:r w:rsidRPr="0008220B">
        <w:rPr>
          <w:rFonts w:ascii="Arial" w:eastAsia="Times New Roman" w:hAnsi="Arial" w:cs="Arial"/>
          <w:color w:val="000000"/>
          <w:sz w:val="20"/>
          <w:szCs w:val="20"/>
        </w:rPr>
        <w:t xml:space="preserve">This heterogeneity is only partly explained, and clinical management remains challenging. Improved quantitative models are needed to estimate individual risk, optimize surveillance strategies. </w:t>
      </w:r>
      <w:r w:rsidRPr="0008220B">
        <w:rPr>
          <w:rFonts w:ascii="Arial" w:eastAsia="Times New Roman" w:hAnsi="Arial" w:cs="Arial"/>
          <w:color w:val="000000"/>
          <w:sz w:val="20"/>
          <w:szCs w:val="20"/>
        </w:rPr>
        <w:br/>
      </w:r>
    </w:p>
    <w:p w:rsidR="0008220B" w:rsidRPr="0008220B" w:rsidRDefault="0008220B" w:rsidP="000822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b/>
          <w:color w:val="000000"/>
          <w:sz w:val="20"/>
          <w:szCs w:val="20"/>
        </w:rPr>
      </w:pPr>
      <w:r w:rsidRPr="0008220B">
        <w:rPr>
          <w:rFonts w:ascii="Arial" w:eastAsia="Times New Roman" w:hAnsi="Arial" w:cs="Arial"/>
          <w:b/>
          <w:color w:val="000000"/>
          <w:sz w:val="20"/>
          <w:szCs w:val="20"/>
        </w:rPr>
        <w:t xml:space="preserve">Objectives </w:t>
      </w:r>
    </w:p>
    <w:p w:rsidR="0008220B" w:rsidRPr="0008220B" w:rsidRDefault="0008220B" w:rsidP="0008220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000000"/>
          <w:sz w:val="20"/>
          <w:szCs w:val="20"/>
        </w:rPr>
      </w:pPr>
      <w:r w:rsidRPr="0008220B">
        <w:rPr>
          <w:rFonts w:ascii="Arial" w:eastAsia="Times New Roman" w:hAnsi="Arial" w:cs="Arial"/>
          <w:color w:val="000000"/>
          <w:sz w:val="20"/>
          <w:szCs w:val="20"/>
        </w:rPr>
        <w:t xml:space="preserve">To build and validate statistical (and machine learning models) for cancer risk prediction in TP53 germline mutation carriers. </w:t>
      </w:r>
    </w:p>
    <w:p w:rsidR="0008220B" w:rsidRPr="0008220B" w:rsidRDefault="0008220B" w:rsidP="0008220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000000"/>
          <w:sz w:val="20"/>
          <w:szCs w:val="20"/>
        </w:rPr>
      </w:pPr>
      <w:r w:rsidRPr="0008220B">
        <w:rPr>
          <w:rFonts w:ascii="Arial" w:eastAsia="Times New Roman" w:hAnsi="Arial" w:cs="Arial"/>
          <w:color w:val="000000"/>
          <w:sz w:val="20"/>
          <w:szCs w:val="20"/>
        </w:rPr>
        <w:t xml:space="preserve">To assess/estimate how demographic, clinical, and lifestyle factors influence age-specific penetrance and cancer types. </w:t>
      </w:r>
    </w:p>
    <w:p w:rsidR="0008220B" w:rsidRPr="0008220B" w:rsidRDefault="0008220B" w:rsidP="0008220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000000"/>
          <w:sz w:val="20"/>
          <w:szCs w:val="20"/>
        </w:rPr>
      </w:pPr>
      <w:r w:rsidRPr="0008220B">
        <w:rPr>
          <w:rFonts w:ascii="Arial" w:eastAsia="Times New Roman" w:hAnsi="Arial" w:cs="Arial"/>
          <w:color w:val="000000"/>
          <w:sz w:val="20"/>
          <w:szCs w:val="20"/>
        </w:rPr>
        <w:t xml:space="preserve">To explore the potential benefit of surveillance strategies (e.g. MRI screening) on early detection and survival outcomes using simulation studies. </w:t>
      </w:r>
    </w:p>
    <w:p w:rsidR="0008220B" w:rsidRPr="0008220B" w:rsidRDefault="0008220B" w:rsidP="0008220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000000"/>
          <w:sz w:val="20"/>
          <w:szCs w:val="20"/>
        </w:rPr>
      </w:pPr>
      <w:r w:rsidRPr="0008220B">
        <w:rPr>
          <w:rFonts w:ascii="Arial" w:eastAsia="Times New Roman" w:hAnsi="Arial" w:cs="Arial"/>
          <w:color w:val="000000"/>
          <w:sz w:val="20"/>
          <w:szCs w:val="20"/>
        </w:rPr>
        <w:t xml:space="preserve">To explore the potential role of </w:t>
      </w:r>
      <w:proofErr w:type="spellStart"/>
      <w:r w:rsidRPr="0008220B">
        <w:rPr>
          <w:rFonts w:ascii="Arial" w:eastAsia="Times New Roman" w:hAnsi="Arial" w:cs="Arial"/>
          <w:color w:val="000000"/>
          <w:sz w:val="20"/>
          <w:szCs w:val="20"/>
        </w:rPr>
        <w:t>cfDNA</w:t>
      </w:r>
      <w:proofErr w:type="spellEnd"/>
      <w:r w:rsidRPr="0008220B">
        <w:rPr>
          <w:rFonts w:ascii="Arial" w:eastAsia="Times New Roman" w:hAnsi="Arial" w:cs="Arial"/>
          <w:color w:val="000000"/>
          <w:sz w:val="20"/>
          <w:szCs w:val="20"/>
        </w:rPr>
        <w:t xml:space="preserve"> in cancer surveillance in a group of TP53 mutant carriers </w:t>
      </w:r>
    </w:p>
    <w:p w:rsidR="0008220B" w:rsidRPr="0008220B" w:rsidRDefault="0008220B" w:rsidP="0008220B">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000000"/>
          <w:sz w:val="20"/>
          <w:szCs w:val="20"/>
        </w:rPr>
      </w:pPr>
      <w:r w:rsidRPr="0008220B">
        <w:rPr>
          <w:rFonts w:ascii="Arial" w:eastAsia="Times New Roman" w:hAnsi="Arial" w:cs="Arial"/>
          <w:color w:val="000000"/>
          <w:sz w:val="20"/>
          <w:szCs w:val="20"/>
        </w:rPr>
        <w:t xml:space="preserve">To explore the psychological effects of the current used screening techniques. </w:t>
      </w:r>
      <w:r w:rsidRPr="0008220B">
        <w:rPr>
          <w:rFonts w:ascii="Arial" w:eastAsia="Times New Roman" w:hAnsi="Arial" w:cs="Arial"/>
          <w:color w:val="000000"/>
          <w:sz w:val="20"/>
          <w:szCs w:val="20"/>
        </w:rPr>
        <w:br/>
      </w:r>
    </w:p>
    <w:p w:rsidR="0008220B" w:rsidRPr="0008220B" w:rsidRDefault="0008220B" w:rsidP="000822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b/>
          <w:color w:val="000000"/>
          <w:sz w:val="20"/>
          <w:szCs w:val="20"/>
        </w:rPr>
      </w:pPr>
      <w:r w:rsidRPr="0008220B">
        <w:rPr>
          <w:rFonts w:ascii="Arial" w:eastAsia="Times New Roman" w:hAnsi="Arial" w:cs="Arial"/>
          <w:b/>
          <w:color w:val="000000"/>
          <w:sz w:val="20"/>
          <w:szCs w:val="20"/>
        </w:rPr>
        <w:t xml:space="preserve">Data </w:t>
      </w:r>
    </w:p>
    <w:p w:rsidR="0008220B" w:rsidRPr="0008220B" w:rsidRDefault="0008220B" w:rsidP="000822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000000"/>
          <w:sz w:val="20"/>
          <w:szCs w:val="20"/>
        </w:rPr>
      </w:pPr>
      <w:r w:rsidRPr="0008220B">
        <w:rPr>
          <w:rFonts w:ascii="Arial" w:eastAsia="Times New Roman" w:hAnsi="Arial" w:cs="Arial"/>
          <w:color w:val="000000"/>
          <w:sz w:val="20"/>
          <w:szCs w:val="20"/>
        </w:rPr>
        <w:t xml:space="preserve">The project can make use of available, published datasets from other countries from clinical cohorts of TP53 mutation carriers, complemented by published penetrance estimates and simulated data when necessary. Data sources may include family registries, clinical follow-up information, and survival outcomes </w:t>
      </w:r>
      <w:r w:rsidRPr="0008220B">
        <w:rPr>
          <w:rFonts w:ascii="Arial" w:eastAsia="Times New Roman" w:hAnsi="Arial" w:cs="Arial"/>
          <w:color w:val="000000"/>
          <w:sz w:val="20"/>
          <w:szCs w:val="20"/>
        </w:rPr>
        <w:br/>
      </w:r>
    </w:p>
    <w:p w:rsidR="0008220B" w:rsidRPr="0008220B" w:rsidRDefault="0008220B" w:rsidP="000822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b/>
          <w:color w:val="000000"/>
          <w:sz w:val="20"/>
          <w:szCs w:val="20"/>
        </w:rPr>
      </w:pPr>
      <w:r w:rsidRPr="0008220B">
        <w:rPr>
          <w:rFonts w:ascii="Arial" w:eastAsia="Times New Roman" w:hAnsi="Arial" w:cs="Arial"/>
          <w:b/>
          <w:color w:val="000000"/>
          <w:sz w:val="20"/>
          <w:szCs w:val="20"/>
        </w:rPr>
        <w:t xml:space="preserve">Methodology </w:t>
      </w:r>
    </w:p>
    <w:p w:rsidR="0008220B" w:rsidRPr="0008220B" w:rsidRDefault="0008220B" w:rsidP="000822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000000"/>
          <w:sz w:val="20"/>
          <w:szCs w:val="20"/>
        </w:rPr>
      </w:pPr>
      <w:r w:rsidRPr="0008220B">
        <w:rPr>
          <w:rFonts w:ascii="Arial" w:eastAsia="Times New Roman" w:hAnsi="Arial" w:cs="Arial"/>
          <w:color w:val="000000"/>
          <w:sz w:val="20"/>
          <w:szCs w:val="20"/>
        </w:rPr>
        <w:t xml:space="preserve">• Survival analysis and competing risks models to estimate age-specific cancer incidence. </w:t>
      </w:r>
    </w:p>
    <w:p w:rsidR="0008220B" w:rsidRPr="0008220B" w:rsidRDefault="0008220B" w:rsidP="000822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000000"/>
          <w:sz w:val="20"/>
          <w:szCs w:val="20"/>
        </w:rPr>
      </w:pPr>
      <w:r w:rsidRPr="0008220B">
        <w:rPr>
          <w:rFonts w:ascii="Arial" w:eastAsia="Times New Roman" w:hAnsi="Arial" w:cs="Arial"/>
          <w:color w:val="000000"/>
          <w:sz w:val="20"/>
          <w:szCs w:val="20"/>
        </w:rPr>
        <w:t xml:space="preserve">• Regularized regression and machine learning techniques (e.g. random survival forests, neural networks for survival data) for prediction. </w:t>
      </w:r>
    </w:p>
    <w:p w:rsidR="0008220B" w:rsidRPr="0008220B" w:rsidRDefault="0008220B" w:rsidP="000822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000000"/>
          <w:sz w:val="20"/>
          <w:szCs w:val="20"/>
        </w:rPr>
      </w:pPr>
      <w:r w:rsidRPr="0008220B">
        <w:rPr>
          <w:rFonts w:ascii="Arial" w:eastAsia="Times New Roman" w:hAnsi="Arial" w:cs="Arial"/>
          <w:color w:val="000000"/>
          <w:sz w:val="20"/>
          <w:szCs w:val="20"/>
        </w:rPr>
        <w:t xml:space="preserve">• Simulation studies to evaluate potential surveillance strategies in terms of cancer detection rates and cost-effectiveness. </w:t>
      </w:r>
      <w:r w:rsidRPr="0008220B">
        <w:rPr>
          <w:rFonts w:ascii="Arial" w:eastAsia="Times New Roman" w:hAnsi="Arial" w:cs="Arial"/>
          <w:color w:val="000000"/>
          <w:sz w:val="20"/>
          <w:szCs w:val="20"/>
        </w:rPr>
        <w:br/>
      </w:r>
    </w:p>
    <w:p w:rsidR="0008220B" w:rsidRPr="0008220B" w:rsidRDefault="0008220B" w:rsidP="000822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b/>
          <w:color w:val="000000"/>
          <w:sz w:val="20"/>
          <w:szCs w:val="20"/>
        </w:rPr>
      </w:pPr>
      <w:r w:rsidRPr="0008220B">
        <w:rPr>
          <w:rFonts w:ascii="Arial" w:eastAsia="Times New Roman" w:hAnsi="Arial" w:cs="Arial"/>
          <w:b/>
          <w:color w:val="000000"/>
          <w:sz w:val="20"/>
          <w:szCs w:val="20"/>
        </w:rPr>
        <w:t xml:space="preserve">Expected Results </w:t>
      </w:r>
    </w:p>
    <w:p w:rsidR="0008220B" w:rsidRPr="0008220B" w:rsidRDefault="0008220B" w:rsidP="000822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000000"/>
          <w:sz w:val="20"/>
          <w:szCs w:val="20"/>
        </w:rPr>
      </w:pPr>
      <w:r w:rsidRPr="0008220B">
        <w:rPr>
          <w:rFonts w:ascii="Arial" w:eastAsia="Times New Roman" w:hAnsi="Arial" w:cs="Arial"/>
          <w:color w:val="000000"/>
          <w:sz w:val="20"/>
          <w:szCs w:val="20"/>
        </w:rPr>
        <w:t xml:space="preserve">The project will deliver a validated statistical framework for predicting cancer risk in TP53 mutation carriers, with potential applications in personalized medicine and genetic counseling. The findings will also provide methodological contributions to survival modeling in rare diseases. </w:t>
      </w:r>
      <w:r w:rsidRPr="0008220B">
        <w:rPr>
          <w:rFonts w:ascii="Arial" w:eastAsia="Times New Roman" w:hAnsi="Arial" w:cs="Arial"/>
          <w:color w:val="000000"/>
          <w:sz w:val="20"/>
          <w:szCs w:val="20"/>
        </w:rPr>
        <w:br/>
      </w:r>
    </w:p>
    <w:p w:rsidR="00E7695E" w:rsidRPr="0008220B" w:rsidRDefault="00E7695E">
      <w:pPr>
        <w:rPr>
          <w:rFonts w:ascii="Arial" w:hAnsi="Arial" w:cs="Arial"/>
        </w:rPr>
      </w:pPr>
      <w:bookmarkStart w:id="0" w:name="_GoBack"/>
      <w:bookmarkEnd w:id="0"/>
    </w:p>
    <w:sectPr w:rsidR="00E7695E" w:rsidRPr="0008220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C62CA736-FEDB-4391-B41A-40B030E24F1F}"/>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embedRegular r:id="rId2" w:fontKey="{9EC3836E-62CF-432D-BCE9-E9ADA439E948}"/>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386F407A"/>
    <w:multiLevelType w:val="hybridMultilevel"/>
    <w:tmpl w:val="09DEFE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BF23508"/>
    <w:multiLevelType w:val="hybridMultilevel"/>
    <w:tmpl w:val="716A7A8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TrueTypeFonts/>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8220B"/>
    <w:rsid w:val="0008220B"/>
    <w:rsid w:val="00E769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DA545B2-A969-43ED-ADF2-9022958F4A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TMLPreformatted">
    <w:name w:val="HTML Preformatted"/>
    <w:basedOn w:val="Normal"/>
    <w:link w:val="HTMLPreformattedChar"/>
    <w:uiPriority w:val="99"/>
    <w:semiHidden/>
    <w:unhideWhenUsed/>
    <w:rsid w:val="000822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08220B"/>
    <w:rPr>
      <w:rFonts w:ascii="Courier New" w:eastAsia="Times New Roman" w:hAnsi="Courier New" w:cs="Courier New"/>
      <w:sz w:val="20"/>
      <w:szCs w:val="20"/>
    </w:rPr>
  </w:style>
  <w:style w:type="paragraph" w:styleId="ListParagraph">
    <w:name w:val="List Paragraph"/>
    <w:basedOn w:val="Normal"/>
    <w:uiPriority w:val="34"/>
    <w:qFormat/>
    <w:rsid w:val="0008220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851121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1</Pages>
  <Words>319</Words>
  <Characters>1821</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2136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Patrick Mwaura</dc:creator>
  <cp:keywords/>
  <dc:description/>
  <cp:lastModifiedBy>Patrick Mwaura</cp:lastModifiedBy>
  <cp:revision>1</cp:revision>
  <dcterms:created xsi:type="dcterms:W3CDTF">2025-10-16T16:28:00Z</dcterms:created>
  <dcterms:modified xsi:type="dcterms:W3CDTF">2025-10-16T16:36:00Z</dcterms:modified>
</cp:coreProperties>
</file>