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FE5FA" w14:textId="77777777" w:rsidR="00FB776D" w:rsidRDefault="00FB776D" w:rsidP="00D11851">
      <w:pPr>
        <w:spacing w:before="8"/>
        <w:ind w:right="587"/>
        <w:rPr>
          <w:rFonts w:ascii="Times New Roman" w:eastAsia="Calibri" w:hAnsi="Times New Roman" w:cs="Times New Roman"/>
          <w:b/>
          <w:sz w:val="24"/>
          <w:szCs w:val="24"/>
        </w:rPr>
      </w:pPr>
    </w:p>
    <w:p w14:paraId="541B14B0" w14:textId="77777777" w:rsidR="00FB776D" w:rsidRDefault="00FB776D" w:rsidP="00D11851">
      <w:pPr>
        <w:spacing w:before="8"/>
        <w:ind w:right="587"/>
        <w:rPr>
          <w:rFonts w:ascii="Times New Roman" w:eastAsia="Calibri" w:hAnsi="Times New Roman" w:cs="Times New Roman"/>
          <w:b/>
          <w:sz w:val="24"/>
          <w:szCs w:val="24"/>
        </w:rPr>
      </w:pPr>
    </w:p>
    <w:p w14:paraId="4087AEB4" w14:textId="77777777" w:rsidR="00FB776D" w:rsidRDefault="00FB776D" w:rsidP="00D11851">
      <w:pPr>
        <w:spacing w:before="8"/>
        <w:ind w:right="587"/>
        <w:rPr>
          <w:rFonts w:ascii="Times New Roman" w:eastAsia="Calibri" w:hAnsi="Times New Roman" w:cs="Times New Roman"/>
          <w:b/>
          <w:sz w:val="24"/>
          <w:szCs w:val="24"/>
        </w:rPr>
      </w:pPr>
    </w:p>
    <w:p w14:paraId="090277F0" w14:textId="77777777" w:rsidR="00FB776D" w:rsidRPr="00583FB7" w:rsidRDefault="00FB776D" w:rsidP="00D11851">
      <w:pPr>
        <w:spacing w:before="8"/>
        <w:ind w:right="587"/>
        <w:rPr>
          <w:rFonts w:ascii="Times New Roman" w:eastAsia="Calibri" w:hAnsi="Times New Roman" w:cs="Times New Roman"/>
          <w:b/>
          <w:sz w:val="24"/>
          <w:szCs w:val="24"/>
        </w:rPr>
      </w:pPr>
    </w:p>
    <w:p w14:paraId="3E4F7E45" w14:textId="30460389" w:rsidR="00D11851" w:rsidRPr="00583FB7" w:rsidRDefault="00D11851" w:rsidP="00D11851">
      <w:pPr>
        <w:spacing w:before="8"/>
        <w:ind w:right="587"/>
        <w:rPr>
          <w:rFonts w:ascii="Times New Roman" w:eastAsia="Maiandra GD" w:hAnsi="Times New Roman" w:cs="Times New Roman"/>
          <w:b/>
          <w:color w:val="000000"/>
          <w:spacing w:val="-4"/>
          <w:sz w:val="24"/>
          <w:szCs w:val="24"/>
        </w:rPr>
      </w:pPr>
      <w:r w:rsidRPr="00583FB7">
        <w:rPr>
          <w:rFonts w:ascii="Times New Roman" w:eastAsia="Calibri" w:hAnsi="Times New Roman" w:cs="Times New Roman"/>
          <w:b/>
          <w:sz w:val="24"/>
          <w:szCs w:val="24"/>
        </w:rPr>
        <w:t>REF:</w:t>
      </w:r>
      <w:r w:rsidRPr="00583FB7">
        <w:rPr>
          <w:rFonts w:ascii="Times New Roman" w:eastAsia="Maiandra GD" w:hAnsi="Times New Roman" w:cs="Times New Roman"/>
          <w:b/>
          <w:color w:val="000000"/>
          <w:spacing w:val="-4"/>
          <w:sz w:val="24"/>
          <w:szCs w:val="24"/>
        </w:rPr>
        <w:t xml:space="preserve"> KIPRE/ADM/SUP/01/26</w:t>
      </w:r>
    </w:p>
    <w:p w14:paraId="0AABFF73"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sz w:val="24"/>
          <w:szCs w:val="24"/>
        </w:rPr>
        <w:t>28</w:t>
      </w:r>
      <w:r w:rsidRPr="00583FB7">
        <w:rPr>
          <w:rFonts w:ascii="Times New Roman" w:hAnsi="Times New Roman" w:cs="Times New Roman"/>
          <w:sz w:val="24"/>
          <w:szCs w:val="24"/>
          <w:vertAlign w:val="superscript"/>
        </w:rPr>
        <w:t>th</w:t>
      </w:r>
      <w:r w:rsidRPr="00583FB7">
        <w:rPr>
          <w:rFonts w:ascii="Times New Roman" w:hAnsi="Times New Roman" w:cs="Times New Roman"/>
          <w:sz w:val="24"/>
          <w:szCs w:val="24"/>
        </w:rPr>
        <w:t xml:space="preserve"> January ,2026.</w:t>
      </w:r>
    </w:p>
    <w:p w14:paraId="0373A53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Chief Executive Officer</w:t>
      </w:r>
    </w:p>
    <w:p w14:paraId="0695D892"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Goldfield Insurance Brokers Ltd</w:t>
      </w:r>
    </w:p>
    <w:p w14:paraId="3DA2053F"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P.O.BOX 7444-00100</w:t>
      </w:r>
    </w:p>
    <w:p w14:paraId="0BB0222C"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Nairobi.</w:t>
      </w:r>
    </w:p>
    <w:p w14:paraId="7F1BB51E"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Dear Sir,</w:t>
      </w:r>
    </w:p>
    <w:p w14:paraId="65003682" w14:textId="77777777" w:rsidR="00D11851" w:rsidRPr="00583FB7" w:rsidRDefault="00D11851" w:rsidP="00D11851">
      <w:pPr>
        <w:rPr>
          <w:rFonts w:ascii="Times New Roman" w:hAnsi="Times New Roman" w:cs="Times New Roman"/>
          <w:b/>
          <w:sz w:val="24"/>
          <w:szCs w:val="24"/>
          <w:u w:val="single"/>
        </w:rPr>
      </w:pPr>
      <w:r w:rsidRPr="00583FB7">
        <w:rPr>
          <w:rFonts w:ascii="Times New Roman" w:hAnsi="Times New Roman" w:cs="Times New Roman"/>
          <w:b/>
          <w:sz w:val="24"/>
          <w:szCs w:val="24"/>
          <w:u w:val="single"/>
        </w:rPr>
        <w:t>RE: BREACH OF CONTRACT AGREEMENT FOR THE GROUP LIFE AND GENERAL INSURANCE BROKERAGE SERVICES.</w:t>
      </w:r>
    </w:p>
    <w:p w14:paraId="543807BF"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We write in response to your letters   Ref: GIB/CEO/24112025/01 Dated 24</w:t>
      </w:r>
      <w:r w:rsidRPr="00583FB7">
        <w:rPr>
          <w:rFonts w:ascii="Times New Roman" w:eastAsia="Times New Roman" w:hAnsi="Times New Roman" w:cs="Times New Roman"/>
          <w:kern w:val="2"/>
          <w:sz w:val="24"/>
          <w:szCs w:val="24"/>
          <w:vertAlign w:val="superscript"/>
        </w:rPr>
        <w:t>th</w:t>
      </w:r>
      <w:r w:rsidRPr="00583FB7">
        <w:rPr>
          <w:rFonts w:ascii="Times New Roman" w:eastAsia="Times New Roman" w:hAnsi="Times New Roman" w:cs="Times New Roman"/>
          <w:kern w:val="2"/>
          <w:sz w:val="24"/>
          <w:szCs w:val="24"/>
        </w:rPr>
        <w:t xml:space="preserve"> November 2025 regarding the change of underwriter in the Institutes General Insurance cover (motor vehicle and Asset insurance contract.)</w:t>
      </w:r>
    </w:p>
    <w:p w14:paraId="048E0128"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 xml:space="preserve">While we appreciate your intention to secure optimal insurance coverage for KIPRE, the unilateral replacement of the approved underwriter raises serious concerns with respect to public procurement law and the principles of fairness and transparency. </w:t>
      </w:r>
    </w:p>
    <w:p w14:paraId="56CF1C0B" w14:textId="2FA2636C" w:rsidR="00D11851" w:rsidRPr="00583FB7" w:rsidRDefault="00D11851" w:rsidP="00D11851">
      <w:pPr>
        <w:autoSpaceDE w:val="0"/>
        <w:autoSpaceDN w:val="0"/>
        <w:adjustRightInd w:val="0"/>
        <w:spacing w:after="0" w:line="240" w:lineRule="auto"/>
        <w:jc w:val="both"/>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The tender evaluation process was conducted in accordance with the law, providing all bidders with an equal opportunity based on clearly disclosed evaluation criteria. As one of the evaluation criteria the Broker was to forward an original</w:t>
      </w:r>
      <w:r w:rsidRPr="00583FB7">
        <w:rPr>
          <w:rFonts w:ascii="Times New Roman" w:hAnsi="Times New Roman" w:cs="Times New Roman"/>
          <w:sz w:val="24"/>
          <w:szCs w:val="24"/>
        </w:rPr>
        <w:t xml:space="preserve"> quotation from the underwriter with a forwarding letter on letterhead. </w:t>
      </w:r>
      <w:r w:rsidRPr="00583FB7">
        <w:rPr>
          <w:rFonts w:ascii="Times New Roman" w:eastAsia="Times New Roman" w:hAnsi="Times New Roman" w:cs="Times New Roman"/>
          <w:kern w:val="2"/>
          <w:sz w:val="24"/>
          <w:szCs w:val="24"/>
        </w:rPr>
        <w:t>Following the award, the Institute received policy documents issued by NCBA Insurance Company Limited, an insurer that did not submit a bid, was not evaluated, and was not approved by the Tender Evaluation Committee. We wish to clearly state our concern with your action of interchanging the underwriter without consultation with the Kipre Management. Your letter explains the reason for the change was that Occidental Insurance does not own claims. If the underwriter was unable to meet claims, then on what basis did you proceed to quote and present the underwriter to our organization during the tender process. As a broker who won the tender, you had a responsibility to ensure the underwriter recommended was reputable and financially sound</w:t>
      </w:r>
      <w:r w:rsidR="004D4A29">
        <w:rPr>
          <w:rFonts w:ascii="Times New Roman" w:eastAsia="Times New Roman" w:hAnsi="Times New Roman" w:cs="Times New Roman"/>
          <w:kern w:val="2"/>
          <w:sz w:val="24"/>
          <w:szCs w:val="24"/>
        </w:rPr>
        <w:t>.</w:t>
      </w:r>
    </w:p>
    <w:p w14:paraId="6273BAE5" w14:textId="77777777" w:rsidR="00D11851" w:rsidRPr="00583FB7" w:rsidRDefault="00D11851" w:rsidP="00D11851">
      <w:pPr>
        <w:autoSpaceDE w:val="0"/>
        <w:autoSpaceDN w:val="0"/>
        <w:adjustRightInd w:val="0"/>
        <w:spacing w:after="0" w:line="240" w:lineRule="auto"/>
        <w:jc w:val="both"/>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Substituting the underwriter after contract award undermines the integrity of the procurement process and unfairly disadvantages other bidders who fully complied with the tender requirements.</w:t>
      </w:r>
    </w:p>
    <w:p w14:paraId="0CD5C86C" w14:textId="77777777" w:rsidR="00D11851" w:rsidRPr="00583FB7"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Section 139(1) of the Public Procurement and Asset Disposal Act provides that any amendment or variation to a contract arising from a procurement process is effective only if approved in writing by the relevant tender awarding authority. No such approval was sought or granted prior to the change of underwriter, rendering the variation ineffective in law.</w:t>
      </w:r>
    </w:p>
    <w:p w14:paraId="007699ED" w14:textId="77777777" w:rsidR="00D11851" w:rsidRPr="00583FB7" w:rsidRDefault="00D11851" w:rsidP="00D11851">
      <w:pPr>
        <w:spacing w:line="278" w:lineRule="auto"/>
        <w:rPr>
          <w:rFonts w:ascii="Times New Roman" w:eastAsia="Times New Roman" w:hAnsi="Times New Roman" w:cs="Times New Roman"/>
          <w:b/>
          <w:bCs/>
          <w:kern w:val="2"/>
          <w:sz w:val="24"/>
          <w:szCs w:val="24"/>
          <w:u w:val="single"/>
        </w:rPr>
      </w:pPr>
      <w:r w:rsidRPr="00583FB7">
        <w:rPr>
          <w:rFonts w:ascii="Times New Roman" w:eastAsia="Times New Roman" w:hAnsi="Times New Roman" w:cs="Times New Roman"/>
          <w:kern w:val="2"/>
          <w:sz w:val="24"/>
          <w:szCs w:val="24"/>
        </w:rPr>
        <w:lastRenderedPageBreak/>
        <w:t>Goldfield Insurance broker acted contrary to section 139(1) of PPADA constituting a breach of procurement law and principal.</w:t>
      </w:r>
    </w:p>
    <w:p w14:paraId="6E61C5C7" w14:textId="0841BABD" w:rsidR="00D11851" w:rsidRDefault="00D11851" w:rsidP="00D11851">
      <w:pPr>
        <w:spacing w:line="278" w:lineRule="auto"/>
        <w:rPr>
          <w:rFonts w:ascii="Times New Roman" w:eastAsia="Times New Roman" w:hAnsi="Times New Roman" w:cs="Times New Roman"/>
          <w:kern w:val="2"/>
          <w:sz w:val="24"/>
          <w:szCs w:val="24"/>
        </w:rPr>
      </w:pPr>
      <w:r w:rsidRPr="00583FB7">
        <w:rPr>
          <w:rFonts w:ascii="Times New Roman" w:eastAsia="Times New Roman" w:hAnsi="Times New Roman" w:cs="Times New Roman"/>
          <w:kern w:val="2"/>
          <w:sz w:val="24"/>
          <w:szCs w:val="24"/>
        </w:rPr>
        <w:t>In light of the above we are unable to process your premium payment as Goldfield insurance brokers broke contractual obligati</w:t>
      </w:r>
      <w:r w:rsidR="004D4A29">
        <w:rPr>
          <w:rFonts w:ascii="Times New Roman" w:eastAsia="Times New Roman" w:hAnsi="Times New Roman" w:cs="Times New Roman"/>
          <w:kern w:val="2"/>
          <w:sz w:val="24"/>
          <w:szCs w:val="24"/>
        </w:rPr>
        <w:t>on.</w:t>
      </w:r>
    </w:p>
    <w:p w14:paraId="5CA5AC84" w14:textId="77777777" w:rsidR="004D4A29" w:rsidRPr="004D4A29" w:rsidRDefault="004D4A29" w:rsidP="00D11851">
      <w:pPr>
        <w:spacing w:line="278" w:lineRule="auto"/>
        <w:rPr>
          <w:rFonts w:ascii="Times New Roman" w:eastAsia="Times New Roman" w:hAnsi="Times New Roman" w:cs="Times New Roman"/>
          <w:kern w:val="2"/>
          <w:sz w:val="24"/>
          <w:szCs w:val="24"/>
        </w:rPr>
      </w:pPr>
    </w:p>
    <w:p w14:paraId="37ED5B6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Yours faithfully,</w:t>
      </w:r>
    </w:p>
    <w:p w14:paraId="27D85EDA" w14:textId="77777777" w:rsidR="00D11851" w:rsidRPr="00583FB7" w:rsidRDefault="00D11851" w:rsidP="00D11851">
      <w:pPr>
        <w:rPr>
          <w:rFonts w:ascii="Times New Roman" w:hAnsi="Times New Roman" w:cs="Times New Roman"/>
          <w:sz w:val="24"/>
          <w:szCs w:val="24"/>
        </w:rPr>
      </w:pPr>
    </w:p>
    <w:p w14:paraId="32BBA245"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 xml:space="preserve">Dr. Peter </w:t>
      </w:r>
      <w:proofErr w:type="spellStart"/>
      <w:r w:rsidRPr="00583FB7">
        <w:rPr>
          <w:rFonts w:ascii="Times New Roman" w:hAnsi="Times New Roman" w:cs="Times New Roman"/>
          <w:sz w:val="24"/>
          <w:szCs w:val="24"/>
        </w:rPr>
        <w:t>Mwethera</w:t>
      </w:r>
      <w:proofErr w:type="spellEnd"/>
      <w:r w:rsidRPr="00583FB7">
        <w:rPr>
          <w:rFonts w:ascii="Times New Roman" w:hAnsi="Times New Roman" w:cs="Times New Roman"/>
          <w:sz w:val="24"/>
          <w:szCs w:val="24"/>
        </w:rPr>
        <w:t>, PhD, MBS</w:t>
      </w:r>
    </w:p>
    <w:p w14:paraId="634CF912"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b/>
          <w:sz w:val="24"/>
          <w:szCs w:val="24"/>
        </w:rPr>
        <w:t>DIRECTOR GENERAL.</w:t>
      </w:r>
    </w:p>
    <w:p w14:paraId="1AFC16BC" w14:textId="77777777" w:rsidR="00D11851" w:rsidRPr="00583FB7" w:rsidRDefault="00D11851" w:rsidP="00D11851">
      <w:pPr>
        <w:rPr>
          <w:rFonts w:ascii="Times New Roman" w:hAnsi="Times New Roman" w:cs="Times New Roman"/>
          <w:sz w:val="24"/>
          <w:szCs w:val="24"/>
        </w:rPr>
      </w:pPr>
    </w:p>
    <w:p w14:paraId="5400F30D" w14:textId="77777777" w:rsidR="00D11851" w:rsidRPr="00583FB7" w:rsidRDefault="00D11851" w:rsidP="00D11851">
      <w:pPr>
        <w:tabs>
          <w:tab w:val="left" w:pos="3570"/>
        </w:tabs>
        <w:rPr>
          <w:rFonts w:ascii="Times New Roman" w:hAnsi="Times New Roman" w:cs="Times New Roman"/>
          <w:sz w:val="24"/>
          <w:szCs w:val="24"/>
        </w:rPr>
      </w:pPr>
      <w:r w:rsidRPr="00583FB7">
        <w:rPr>
          <w:rFonts w:ascii="Times New Roman" w:hAnsi="Times New Roman" w:cs="Times New Roman"/>
          <w:sz w:val="24"/>
          <w:szCs w:val="24"/>
        </w:rPr>
        <w:tab/>
      </w:r>
    </w:p>
    <w:p w14:paraId="437921E0" w14:textId="77777777" w:rsidR="00D11851" w:rsidRPr="00583FB7" w:rsidRDefault="00D11851" w:rsidP="00D11851">
      <w:pPr>
        <w:rPr>
          <w:rFonts w:ascii="Times New Roman" w:hAnsi="Times New Roman" w:cs="Times New Roman"/>
          <w:sz w:val="24"/>
          <w:szCs w:val="24"/>
        </w:rPr>
      </w:pPr>
    </w:p>
    <w:p w14:paraId="6D0AC3E4" w14:textId="77777777" w:rsidR="00D11851" w:rsidRPr="00583FB7" w:rsidRDefault="00D11851">
      <w:pPr>
        <w:rPr>
          <w:rFonts w:ascii="Times New Roman" w:hAnsi="Times New Roman" w:cs="Times New Roman"/>
        </w:rPr>
      </w:pPr>
    </w:p>
    <w:sectPr w:rsidR="00D11851" w:rsidRPr="0058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51"/>
    <w:rsid w:val="001C11FD"/>
    <w:rsid w:val="004D4A29"/>
    <w:rsid w:val="00583FB7"/>
    <w:rsid w:val="00D11851"/>
    <w:rsid w:val="00FB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1BDE"/>
  <w15:chartTrackingRefBased/>
  <w15:docId w15:val="{B2AE8D51-CCA7-43E8-99DF-2F723577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SUPPLIES 3</cp:lastModifiedBy>
  <cp:revision>2</cp:revision>
  <cp:lastPrinted>2026-01-28T10:02:00Z</cp:lastPrinted>
  <dcterms:created xsi:type="dcterms:W3CDTF">2026-01-28T13:48:00Z</dcterms:created>
  <dcterms:modified xsi:type="dcterms:W3CDTF">2026-01-28T13:48:00Z</dcterms:modified>
</cp:coreProperties>
</file>