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96DD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Proposed working programme</w:t>
      </w:r>
    </w:p>
    <w:p w14:paraId="4D207C6B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Institutional data protection governance and compliance implementation retreat</w:t>
      </w:r>
    </w:p>
    <w:p w14:paraId="7251F06E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Overall approach</w:t>
      </w:r>
    </w:p>
    <w:p w14:paraId="4C81AAD0" w14:textId="77777777" w:rsidR="00367BF4" w:rsidRPr="00367BF4" w:rsidRDefault="00367BF4" w:rsidP="00757767">
      <w:pPr>
        <w:jc w:val="both"/>
        <w:rPr>
          <w:lang w:val="en-KE"/>
        </w:rPr>
      </w:pPr>
      <w:r w:rsidRPr="00367BF4">
        <w:rPr>
          <w:lang w:val="en-KE"/>
        </w:rPr>
        <w:t>The retreat will be conducted over ten (10) working days using a combination of technical presentations, facilitated plenary sessions, institutional assessments, group work, policy review, process mapping, drafting sessions and validation. The programme will progressively move from establishing a common understanding of the regulatory and institutional context to the development and validation of a practical, costed implementation strategy.</w:t>
      </w:r>
    </w:p>
    <w:tbl>
      <w:tblPr>
        <w:tblW w:w="90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2089"/>
        <w:gridCol w:w="3826"/>
        <w:gridCol w:w="2570"/>
      </w:tblGrid>
      <w:tr w:rsidR="00367BF4" w:rsidRPr="00367BF4" w14:paraId="09D352F2" w14:textId="77777777" w:rsidTr="00367BF4">
        <w:trPr>
          <w:tblHeader/>
          <w:tblCellSpacing w:w="15" w:type="dxa"/>
        </w:trPr>
        <w:tc>
          <w:tcPr>
            <w:tcW w:w="566" w:type="dxa"/>
            <w:vAlign w:val="center"/>
            <w:hideMark/>
          </w:tcPr>
          <w:p w14:paraId="2582DB56" w14:textId="77777777" w:rsidR="00367BF4" w:rsidRPr="00367BF4" w:rsidRDefault="00367BF4" w:rsidP="00757767">
            <w:pPr>
              <w:spacing w:after="0"/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82529B1" w14:textId="77777777" w:rsidR="00367BF4" w:rsidRPr="00367BF4" w:rsidRDefault="00367BF4" w:rsidP="00757767">
            <w:pPr>
              <w:spacing w:after="0"/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4BD2EAA" w14:textId="77777777" w:rsidR="00367BF4" w:rsidRPr="00367BF4" w:rsidRDefault="00367BF4" w:rsidP="00757767">
            <w:pPr>
              <w:spacing w:after="0"/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58B3EE8C" w14:textId="77777777" w:rsidR="00367BF4" w:rsidRPr="00367BF4" w:rsidRDefault="00367BF4" w:rsidP="00757767">
            <w:pPr>
              <w:spacing w:after="0"/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Principal outputs</w:t>
            </w:r>
          </w:p>
        </w:tc>
      </w:tr>
      <w:tr w:rsidR="00367BF4" w:rsidRPr="00367BF4" w14:paraId="756E5080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0B21B87A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7AEDA64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Opening, regulatory orientation and institutional context</w:t>
            </w:r>
          </w:p>
        </w:tc>
        <w:tc>
          <w:tcPr>
            <w:tcW w:w="0" w:type="auto"/>
            <w:vAlign w:val="center"/>
            <w:hideMark/>
          </w:tcPr>
          <w:p w14:paraId="79FCFF66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Official opening; introduction of retreat objectives and expected outputs; overview of KIPRE's institutional data environment; overview of the Data Protection Act, 2019 and subsidiary regulations; roles of the ODPC, data controller, data processor and DPO; principles of data protection; discussion of KIPRE's current compliance journey</w:t>
            </w:r>
          </w:p>
        </w:tc>
        <w:tc>
          <w:tcPr>
            <w:tcW w:w="0" w:type="auto"/>
            <w:vAlign w:val="center"/>
            <w:hideMark/>
          </w:tcPr>
          <w:p w14:paraId="79DEDA6C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Common understanding of regulatory obligations; agreed retreat methodology and expected outputs</w:t>
            </w:r>
          </w:p>
        </w:tc>
      </w:tr>
      <w:tr w:rsidR="00367BF4" w:rsidRPr="00367BF4" w14:paraId="6DE0807B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241334AA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0FD82278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Institutional data protection governance and accountability</w:t>
            </w:r>
          </w:p>
        </w:tc>
        <w:tc>
          <w:tcPr>
            <w:tcW w:w="0" w:type="auto"/>
            <w:vAlign w:val="center"/>
            <w:hideMark/>
          </w:tcPr>
          <w:p w14:paraId="71AF1EB9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KIPRE's existing governance arrangements; roles of Management, DPO, directorates, divisions, programmes and projects; review of proposed Data Protection Steering Committee and Data Protection Champion model; identification of institutional responsibilities; governance gap analysis</w:t>
            </w:r>
          </w:p>
        </w:tc>
        <w:tc>
          <w:tcPr>
            <w:tcW w:w="0" w:type="auto"/>
            <w:vAlign w:val="center"/>
            <w:hideMark/>
          </w:tcPr>
          <w:p w14:paraId="663A83D5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 institutional data protection governance and accountability structure</w:t>
            </w:r>
          </w:p>
        </w:tc>
      </w:tr>
      <w:tr w:rsidR="00367BF4" w:rsidRPr="00367BF4" w14:paraId="27C993F9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58ADE36C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1FA8013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Institutional data-processing and information-flow mapping</w:t>
            </w:r>
          </w:p>
        </w:tc>
        <w:tc>
          <w:tcPr>
            <w:tcW w:w="0" w:type="auto"/>
            <w:vAlign w:val="center"/>
            <w:hideMark/>
          </w:tcPr>
          <w:p w14:paraId="22102A94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 xml:space="preserve">Identification of major categories of personal and sensitive personal data; mapping of data collection, processing, storage, access, sharing and disposal; mapping of research, laboratory, clinical, administrative and digital-data workflows; identification of internal and external </w:t>
            </w:r>
            <w:r w:rsidRPr="00367BF4">
              <w:rPr>
                <w:lang w:val="en-KE"/>
              </w:rPr>
              <w:lastRenderedPageBreak/>
              <w:t>data recipients; identification of cross-border data flows where applicable</w:t>
            </w:r>
          </w:p>
        </w:tc>
        <w:tc>
          <w:tcPr>
            <w:tcW w:w="0" w:type="auto"/>
            <w:vAlign w:val="center"/>
            <w:hideMark/>
          </w:tcPr>
          <w:p w14:paraId="613E22CA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Preliminary institutional data-processing inventory and data-flow maps</w:t>
            </w:r>
          </w:p>
        </w:tc>
      </w:tr>
      <w:tr w:rsidR="00367BF4" w:rsidRPr="00367BF4" w14:paraId="58CD2C27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7B3E8335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283C7A99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Compliance assessment, privacy risks and gap analysis</w:t>
            </w:r>
          </w:p>
        </w:tc>
        <w:tc>
          <w:tcPr>
            <w:tcW w:w="0" w:type="auto"/>
            <w:vAlign w:val="center"/>
            <w:hideMark/>
          </w:tcPr>
          <w:p w14:paraId="3337FA41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 xml:space="preserve">Institutional compliance self-assessment; review of existing controls; identification of legal, governance, technical and operational gaps; assessment of privacy and data-protection risks; prioritisation of critical gaps; identification of areas requiring </w:t>
            </w:r>
            <w:proofErr w:type="spellStart"/>
            <w:r w:rsidRPr="00367BF4">
              <w:rPr>
                <w:lang w:val="en-KE"/>
              </w:rPr>
              <w:t>DPIAs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84BB6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Institutional data protection compliance gap assessment; preliminary risk register</w:t>
            </w:r>
          </w:p>
        </w:tc>
      </w:tr>
      <w:tr w:rsidR="00367BF4" w:rsidRPr="00367BF4" w14:paraId="65E99741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5223C65C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17D8A5E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Policy review and harmonisation</w:t>
            </w:r>
          </w:p>
        </w:tc>
        <w:tc>
          <w:tcPr>
            <w:tcW w:w="0" w:type="auto"/>
            <w:vAlign w:val="center"/>
            <w:hideMark/>
          </w:tcPr>
          <w:p w14:paraId="083214EA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Detailed review of KIPRE Data Management and Protection Policy; alignment with the Data Protection Act and applicable regulations; alignment with Institutional Data Governance Framework; review of data classification, access, retention, sharing, security, privacy and accountability provisions; identification of policy gaps</w:t>
            </w:r>
          </w:p>
        </w:tc>
        <w:tc>
          <w:tcPr>
            <w:tcW w:w="0" w:type="auto"/>
            <w:vAlign w:val="center"/>
            <w:hideMark/>
          </w:tcPr>
          <w:p w14:paraId="0459038B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Revised draft Data Management and Protection Policy; policy gap matrix</w:t>
            </w:r>
          </w:p>
        </w:tc>
      </w:tr>
      <w:tr w:rsidR="00367BF4" w:rsidRPr="00367BF4" w14:paraId="6C7EF207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4D5C7573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6F1298A3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Operational procedures, controls and compliance tools</w:t>
            </w:r>
          </w:p>
        </w:tc>
        <w:tc>
          <w:tcPr>
            <w:tcW w:w="0" w:type="auto"/>
            <w:vAlign w:val="center"/>
            <w:hideMark/>
          </w:tcPr>
          <w:p w14:paraId="37769994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Development/review of priority SOPs; DPIA procedure; personal-data breach response procedure; data-subject rights request procedure; privacy notice and consent templates; data-sharing/transfer procedures; data-retention and disposal procedures; data-processing inventory/template; compliance monitoring tools</w:t>
            </w:r>
          </w:p>
        </w:tc>
        <w:tc>
          <w:tcPr>
            <w:tcW w:w="0" w:type="auto"/>
            <w:vAlign w:val="center"/>
            <w:hideMark/>
          </w:tcPr>
          <w:p w14:paraId="5BEEA00D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 priority SOPs, templates and compliance tools</w:t>
            </w:r>
          </w:p>
        </w:tc>
      </w:tr>
      <w:tr w:rsidR="00367BF4" w:rsidRPr="00367BF4" w14:paraId="06F1DA6F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5D17F88B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BA6CC07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Research, laboratory and health-data protection</w:t>
            </w:r>
          </w:p>
        </w:tc>
        <w:tc>
          <w:tcPr>
            <w:tcW w:w="0" w:type="auto"/>
            <w:vAlign w:val="center"/>
            <w:hideMark/>
          </w:tcPr>
          <w:p w14:paraId="48EE1916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 xml:space="preserve">Application of data protection requirements to biomedical research; research participant data; health and clinical data; laboratory information; biological and genomic </w:t>
            </w:r>
            <w:r w:rsidRPr="00367BF4">
              <w:rPr>
                <w:lang w:val="en-KE"/>
              </w:rPr>
              <w:lastRenderedPageBreak/>
              <w:t>data; secondary use of data; research collaborations; data sharing; publication and dissemination; international collaborations and transfers; DPIA requirements for high-risk processing</w:t>
            </w:r>
          </w:p>
        </w:tc>
        <w:tc>
          <w:tcPr>
            <w:tcW w:w="0" w:type="auto"/>
            <w:vAlign w:val="center"/>
            <w:hideMark/>
          </w:tcPr>
          <w:p w14:paraId="7145343C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 xml:space="preserve">Research and laboratory data protection requirements; priority research-related </w:t>
            </w:r>
            <w:r w:rsidRPr="00367BF4">
              <w:rPr>
                <w:lang w:val="en-KE"/>
              </w:rPr>
              <w:lastRenderedPageBreak/>
              <w:t>controls and DPIA requirements</w:t>
            </w:r>
          </w:p>
        </w:tc>
      </w:tr>
      <w:tr w:rsidR="00367BF4" w:rsidRPr="00367BF4" w14:paraId="062E5811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075598E3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lastRenderedPageBreak/>
              <w:t>Day 8</w:t>
            </w:r>
          </w:p>
        </w:tc>
        <w:tc>
          <w:tcPr>
            <w:tcW w:w="0" w:type="auto"/>
            <w:vAlign w:val="center"/>
            <w:hideMark/>
          </w:tcPr>
          <w:p w14:paraId="79D6F7A8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Data protection compliance implementation strategy</w:t>
            </w:r>
          </w:p>
        </w:tc>
        <w:tc>
          <w:tcPr>
            <w:tcW w:w="0" w:type="auto"/>
            <w:vAlign w:val="center"/>
            <w:hideMark/>
          </w:tcPr>
          <w:p w14:paraId="46E7D4E7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identified gaps and priorities; definition of strategic interventions; development of strategic objectives and implementation pillars; assignment of institutional responsibilities; development of indicators and monitoring mechanisms; sequencing of implementation activities</w:t>
            </w:r>
          </w:p>
        </w:tc>
        <w:tc>
          <w:tcPr>
            <w:tcW w:w="0" w:type="auto"/>
            <w:vAlign w:val="center"/>
            <w:hideMark/>
          </w:tcPr>
          <w:p w14:paraId="46DF78E9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 KIPRE Data Protection Compliance Implementation Strategy</w:t>
            </w:r>
          </w:p>
        </w:tc>
      </w:tr>
      <w:tr w:rsidR="00367BF4" w:rsidRPr="00367BF4" w14:paraId="4AEC1844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3AF53A59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6CCC4EAF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Costed implementation work plan</w:t>
            </w:r>
          </w:p>
        </w:tc>
        <w:tc>
          <w:tcPr>
            <w:tcW w:w="0" w:type="auto"/>
            <w:vAlign w:val="center"/>
            <w:hideMark/>
          </w:tcPr>
          <w:p w14:paraId="74F36E0E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Conversion of strategy into activities and deliverables; assignment of responsible units; timelines and milestones; resource requirements; capacity-building requirements; ICT and infrastructure requirements; development of budget estimates; identification of immediate, medium-term and longer-term actions</w:t>
            </w:r>
          </w:p>
        </w:tc>
        <w:tc>
          <w:tcPr>
            <w:tcW w:w="0" w:type="auto"/>
            <w:vAlign w:val="center"/>
            <w:hideMark/>
          </w:tcPr>
          <w:p w14:paraId="39D2113D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 costed implementation work plan and implementation matrix</w:t>
            </w:r>
          </w:p>
        </w:tc>
      </w:tr>
      <w:tr w:rsidR="00367BF4" w:rsidRPr="00367BF4" w14:paraId="2FB66D65" w14:textId="77777777" w:rsidTr="00367BF4">
        <w:trPr>
          <w:tblCellSpacing w:w="15" w:type="dxa"/>
        </w:trPr>
        <w:tc>
          <w:tcPr>
            <w:tcW w:w="566" w:type="dxa"/>
            <w:vAlign w:val="center"/>
            <w:hideMark/>
          </w:tcPr>
          <w:p w14:paraId="5E6BD100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693DE735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b/>
                <w:bCs/>
                <w:lang w:val="en-KE"/>
              </w:rPr>
              <w:t>Validation, adoption and way forward</w:t>
            </w:r>
          </w:p>
        </w:tc>
        <w:tc>
          <w:tcPr>
            <w:tcW w:w="0" w:type="auto"/>
            <w:vAlign w:val="center"/>
            <w:hideMark/>
          </w:tcPr>
          <w:p w14:paraId="06DBBFEA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Presentation of retreat outputs; technical review; plenary validation; refinement of governance structure, policy, SOPs, strategy and work plan; confirmation of institutional responsibilities; agreement on monitoring and reporting arrangements; identification of immediate 30-, 60- and 90-day actions; closing session</w:t>
            </w:r>
          </w:p>
        </w:tc>
        <w:tc>
          <w:tcPr>
            <w:tcW w:w="0" w:type="auto"/>
            <w:vAlign w:val="center"/>
            <w:hideMark/>
          </w:tcPr>
          <w:p w14:paraId="375E1773" w14:textId="77777777" w:rsidR="00367BF4" w:rsidRPr="00367BF4" w:rsidRDefault="00367BF4" w:rsidP="00757767">
            <w:pPr>
              <w:spacing w:after="0"/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Validated implementation strategy; validated work plan; agreed immediate actions; retreat report and recommendations</w:t>
            </w:r>
          </w:p>
        </w:tc>
      </w:tr>
    </w:tbl>
    <w:p w14:paraId="048F94A3" w14:textId="335BF892" w:rsidR="00367BF4" w:rsidRPr="00367BF4" w:rsidRDefault="00367BF4" w:rsidP="00757767">
      <w:pPr>
        <w:jc w:val="both"/>
        <w:rPr>
          <w:lang w:val="en-KE"/>
        </w:rPr>
      </w:pPr>
    </w:p>
    <w:p w14:paraId="1345D5A2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lastRenderedPageBreak/>
        <w:t>Detailed daily working programme</w:t>
      </w:r>
    </w:p>
    <w:p w14:paraId="792165F7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1 — Opening, regulatory orientation and institutional context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5291"/>
        <w:gridCol w:w="2631"/>
      </w:tblGrid>
      <w:tr w:rsidR="00367BF4" w:rsidRPr="00367BF4" w14:paraId="120620AD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1A4D4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42D024E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DBE2108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30CF8B8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4E7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426FC96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Registration and arrival</w:t>
            </w:r>
          </w:p>
        </w:tc>
        <w:tc>
          <w:tcPr>
            <w:tcW w:w="0" w:type="auto"/>
            <w:vAlign w:val="center"/>
            <w:hideMark/>
          </w:tcPr>
          <w:p w14:paraId="558D826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  <w:tr w:rsidR="00367BF4" w:rsidRPr="00367BF4" w14:paraId="7F81BBA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383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09:00–09:30</w:t>
            </w:r>
          </w:p>
        </w:tc>
        <w:tc>
          <w:tcPr>
            <w:tcW w:w="0" w:type="auto"/>
            <w:vAlign w:val="center"/>
            <w:hideMark/>
          </w:tcPr>
          <w:p w14:paraId="395DDB2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Official opening and remarks</w:t>
            </w:r>
          </w:p>
        </w:tc>
        <w:tc>
          <w:tcPr>
            <w:tcW w:w="0" w:type="auto"/>
            <w:vAlign w:val="center"/>
            <w:hideMark/>
          </w:tcPr>
          <w:p w14:paraId="60AD9D8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Director General / Management</w:t>
            </w:r>
          </w:p>
        </w:tc>
      </w:tr>
      <w:tr w:rsidR="00367BF4" w:rsidRPr="00367BF4" w14:paraId="102F615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E86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09:30–10:00</w:t>
            </w:r>
          </w:p>
        </w:tc>
        <w:tc>
          <w:tcPr>
            <w:tcW w:w="0" w:type="auto"/>
            <w:vAlign w:val="center"/>
            <w:hideMark/>
          </w:tcPr>
          <w:p w14:paraId="2A25FB0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Introduction to the retreat: purpose, objectives, methodology and expected outputs</w:t>
            </w:r>
          </w:p>
        </w:tc>
        <w:tc>
          <w:tcPr>
            <w:tcW w:w="0" w:type="auto"/>
            <w:vAlign w:val="center"/>
            <w:hideMark/>
          </w:tcPr>
          <w:p w14:paraId="0E1D2C0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 / DPO</w:t>
            </w:r>
          </w:p>
        </w:tc>
      </w:tr>
      <w:tr w:rsidR="00367BF4" w:rsidRPr="00367BF4" w14:paraId="3D41B1C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00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2ED5589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49B4EF0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7354719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3D3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10:30–11:30</w:t>
            </w:r>
          </w:p>
        </w:tc>
        <w:tc>
          <w:tcPr>
            <w:tcW w:w="0" w:type="auto"/>
            <w:vAlign w:val="center"/>
            <w:hideMark/>
          </w:tcPr>
          <w:p w14:paraId="0090497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KIPRE's institutional data environment and emerging data-governance requirements</w:t>
            </w:r>
          </w:p>
        </w:tc>
        <w:tc>
          <w:tcPr>
            <w:tcW w:w="0" w:type="auto"/>
            <w:vAlign w:val="center"/>
            <w:hideMark/>
          </w:tcPr>
          <w:p w14:paraId="3A5F412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</w:t>
            </w:r>
          </w:p>
        </w:tc>
      </w:tr>
      <w:tr w:rsidR="00367BF4" w:rsidRPr="00367BF4" w14:paraId="2CC27736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275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11:30–13:00</w:t>
            </w:r>
          </w:p>
        </w:tc>
        <w:tc>
          <w:tcPr>
            <w:tcW w:w="0" w:type="auto"/>
            <w:vAlign w:val="center"/>
            <w:hideMark/>
          </w:tcPr>
          <w:p w14:paraId="606FEFB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 Protection Act, 2019 and applicable regulations: institutional obligations</w:t>
            </w:r>
          </w:p>
        </w:tc>
        <w:tc>
          <w:tcPr>
            <w:tcW w:w="0" w:type="auto"/>
            <w:vAlign w:val="center"/>
            <w:hideMark/>
          </w:tcPr>
          <w:p w14:paraId="414C721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Resource person / ODPC</w:t>
            </w:r>
          </w:p>
        </w:tc>
      </w:tr>
      <w:tr w:rsidR="00367BF4" w:rsidRPr="00367BF4" w14:paraId="5C7F520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20B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B470A7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3F69E4E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11C2E11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984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6F8E010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Principles of data protection and practical application in institutional settings</w:t>
            </w:r>
          </w:p>
        </w:tc>
        <w:tc>
          <w:tcPr>
            <w:tcW w:w="0" w:type="auto"/>
            <w:vAlign w:val="center"/>
            <w:hideMark/>
          </w:tcPr>
          <w:p w14:paraId="35C9976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Resource person</w:t>
            </w:r>
          </w:p>
        </w:tc>
      </w:tr>
      <w:tr w:rsidR="00367BF4" w:rsidRPr="00367BF4" w14:paraId="54F56065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83B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78681B2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Roles of the data controller, data processor, DPO and institutional data users</w:t>
            </w:r>
          </w:p>
        </w:tc>
        <w:tc>
          <w:tcPr>
            <w:tcW w:w="0" w:type="auto"/>
            <w:vAlign w:val="center"/>
            <w:hideMark/>
          </w:tcPr>
          <w:p w14:paraId="4CE6FFE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ODPC / DPO</w:t>
            </w:r>
          </w:p>
        </w:tc>
      </w:tr>
      <w:tr w:rsidR="00367BF4" w:rsidRPr="00367BF4" w14:paraId="222A6EB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E41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195E720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5748E29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36AA75C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09F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4A77647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KIPRE's current data protection compliance journey</w:t>
            </w:r>
          </w:p>
        </w:tc>
        <w:tc>
          <w:tcPr>
            <w:tcW w:w="0" w:type="auto"/>
            <w:vAlign w:val="center"/>
            <w:hideMark/>
          </w:tcPr>
          <w:p w14:paraId="6155E12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</w:t>
            </w:r>
          </w:p>
        </w:tc>
      </w:tr>
      <w:tr w:rsidR="00367BF4" w:rsidRPr="00367BF4" w14:paraId="2F85A03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DF8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790D6F1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Questions, reflections and summary of Day 1</w:t>
            </w:r>
          </w:p>
        </w:tc>
        <w:tc>
          <w:tcPr>
            <w:tcW w:w="0" w:type="auto"/>
            <w:vAlign w:val="center"/>
            <w:hideMark/>
          </w:tcPr>
          <w:p w14:paraId="136BF43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</w:tbl>
    <w:p w14:paraId="345FAEC7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2 — Governance and accountability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6052"/>
        <w:gridCol w:w="1840"/>
      </w:tblGrid>
      <w:tr w:rsidR="00367BF4" w:rsidRPr="00367BF4" w14:paraId="5174A940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0D17F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6131E0BB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1875FD7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53F34357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D68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736C414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Recap of Day 1</w:t>
            </w:r>
          </w:p>
        </w:tc>
        <w:tc>
          <w:tcPr>
            <w:tcW w:w="0" w:type="auto"/>
            <w:vAlign w:val="center"/>
            <w:hideMark/>
          </w:tcPr>
          <w:p w14:paraId="1B101B4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  <w:tr w:rsidR="00367BF4" w:rsidRPr="00367BF4" w14:paraId="6D22BB3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449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4C3207A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Institutional data protection governance principles</w:t>
            </w:r>
          </w:p>
        </w:tc>
        <w:tc>
          <w:tcPr>
            <w:tcW w:w="0" w:type="auto"/>
            <w:vAlign w:val="center"/>
            <w:hideMark/>
          </w:tcPr>
          <w:p w14:paraId="365B719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Resource person</w:t>
            </w:r>
          </w:p>
        </w:tc>
      </w:tr>
      <w:tr w:rsidR="00367BF4" w:rsidRPr="00367BF4" w14:paraId="54962B2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769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56F6111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KIPRE's current governance arrangements</w:t>
            </w:r>
          </w:p>
        </w:tc>
        <w:tc>
          <w:tcPr>
            <w:tcW w:w="0" w:type="auto"/>
            <w:vAlign w:val="center"/>
            <w:hideMark/>
          </w:tcPr>
          <w:p w14:paraId="38F971F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DSAS</w:t>
            </w:r>
          </w:p>
        </w:tc>
      </w:tr>
      <w:tr w:rsidR="00367BF4" w:rsidRPr="00367BF4" w14:paraId="1CEEBDF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853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1BBE114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65A8EF3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61CE3FF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9F8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10:45–12:00</w:t>
            </w:r>
          </w:p>
        </w:tc>
        <w:tc>
          <w:tcPr>
            <w:tcW w:w="0" w:type="auto"/>
            <w:vAlign w:val="center"/>
            <w:hideMark/>
          </w:tcPr>
          <w:p w14:paraId="62C695A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Proposed Data Protection Steering Committee and Data Protection Champion framework</w:t>
            </w:r>
          </w:p>
        </w:tc>
        <w:tc>
          <w:tcPr>
            <w:tcW w:w="0" w:type="auto"/>
            <w:vAlign w:val="center"/>
            <w:hideMark/>
          </w:tcPr>
          <w:p w14:paraId="7767BD1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</w:t>
            </w:r>
          </w:p>
        </w:tc>
      </w:tr>
      <w:tr w:rsidR="00367BF4" w:rsidRPr="00367BF4" w14:paraId="20B4850E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0FD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12:00–13:00</w:t>
            </w:r>
          </w:p>
        </w:tc>
        <w:tc>
          <w:tcPr>
            <w:tcW w:w="0" w:type="auto"/>
            <w:vAlign w:val="center"/>
            <w:hideMark/>
          </w:tcPr>
          <w:p w14:paraId="7F61A9E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Roles and responsibilities across directorates, divisions, programmes and projects</w:t>
            </w:r>
          </w:p>
        </w:tc>
        <w:tc>
          <w:tcPr>
            <w:tcW w:w="0" w:type="auto"/>
            <w:vAlign w:val="center"/>
            <w:hideMark/>
          </w:tcPr>
          <w:p w14:paraId="60BF29D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4FAE8765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382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54B4611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6FCEA2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30C6B5CB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094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14:00–15:30</w:t>
            </w:r>
          </w:p>
        </w:tc>
        <w:tc>
          <w:tcPr>
            <w:tcW w:w="0" w:type="auto"/>
            <w:vAlign w:val="center"/>
            <w:hideMark/>
          </w:tcPr>
          <w:p w14:paraId="3EA8DB1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work: institutional accountability mapping</w:t>
            </w:r>
          </w:p>
        </w:tc>
        <w:tc>
          <w:tcPr>
            <w:tcW w:w="0" w:type="auto"/>
            <w:vAlign w:val="center"/>
            <w:hideMark/>
          </w:tcPr>
          <w:p w14:paraId="6EEA623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16A38FC7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F01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6D6020F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1BDD5F7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12E83427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65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036137D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presentations and plenary discussion</w:t>
            </w:r>
          </w:p>
        </w:tc>
        <w:tc>
          <w:tcPr>
            <w:tcW w:w="0" w:type="auto"/>
            <w:vAlign w:val="center"/>
            <w:hideMark/>
          </w:tcPr>
          <w:p w14:paraId="43A7AEC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29D20385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705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4452BD7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governance structure</w:t>
            </w:r>
          </w:p>
        </w:tc>
        <w:tc>
          <w:tcPr>
            <w:tcW w:w="0" w:type="auto"/>
            <w:vAlign w:val="center"/>
            <w:hideMark/>
          </w:tcPr>
          <w:p w14:paraId="353ABF8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</w:tbl>
    <w:p w14:paraId="78DDD39D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3 — Data-processing and information-flow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5976"/>
        <w:gridCol w:w="1834"/>
      </w:tblGrid>
      <w:tr w:rsidR="00367BF4" w:rsidRPr="00367BF4" w14:paraId="4E81E779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271E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A45981D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AE9983B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39EAB9FE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F73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75AD757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Recap and introduction to data mapping</w:t>
            </w:r>
          </w:p>
        </w:tc>
        <w:tc>
          <w:tcPr>
            <w:tcW w:w="0" w:type="auto"/>
            <w:vAlign w:val="center"/>
            <w:hideMark/>
          </w:tcPr>
          <w:p w14:paraId="1A7FF51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 / DPO</w:t>
            </w:r>
          </w:p>
        </w:tc>
      </w:tr>
      <w:tr w:rsidR="00367BF4" w:rsidRPr="00367BF4" w14:paraId="3534DE2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0D0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09:00–10:30</w:t>
            </w:r>
          </w:p>
        </w:tc>
        <w:tc>
          <w:tcPr>
            <w:tcW w:w="0" w:type="auto"/>
            <w:vAlign w:val="center"/>
            <w:hideMark/>
          </w:tcPr>
          <w:p w14:paraId="5377AC6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Institutional data-processing inventory: concepts and methodology</w:t>
            </w:r>
          </w:p>
        </w:tc>
        <w:tc>
          <w:tcPr>
            <w:tcW w:w="0" w:type="auto"/>
            <w:vAlign w:val="center"/>
            <w:hideMark/>
          </w:tcPr>
          <w:p w14:paraId="311CB41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</w:t>
            </w:r>
          </w:p>
        </w:tc>
      </w:tr>
      <w:tr w:rsidR="00367BF4" w:rsidRPr="00367BF4" w14:paraId="6737263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0A5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4265629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4684943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3FB2A88E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388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3AFFEC3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work: mapping institutional data-processing activities</w:t>
            </w:r>
          </w:p>
        </w:tc>
        <w:tc>
          <w:tcPr>
            <w:tcW w:w="0" w:type="auto"/>
            <w:vAlign w:val="center"/>
            <w:hideMark/>
          </w:tcPr>
          <w:p w14:paraId="0714B00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7B5D90B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348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4A60792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7213C44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4FFF990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7E4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14:00–15:30</w:t>
            </w:r>
          </w:p>
        </w:tc>
        <w:tc>
          <w:tcPr>
            <w:tcW w:w="0" w:type="auto"/>
            <w:vAlign w:val="center"/>
            <w:hideMark/>
          </w:tcPr>
          <w:p w14:paraId="75A8092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Data-flow mapping: collection, processing, storage, sharing and disposal</w:t>
            </w:r>
          </w:p>
        </w:tc>
        <w:tc>
          <w:tcPr>
            <w:tcW w:w="0" w:type="auto"/>
            <w:vAlign w:val="center"/>
            <w:hideMark/>
          </w:tcPr>
          <w:p w14:paraId="4A739A9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 / ICT</w:t>
            </w:r>
          </w:p>
        </w:tc>
      </w:tr>
      <w:tr w:rsidR="00367BF4" w:rsidRPr="00367BF4" w14:paraId="323288F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B40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0C0F286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3C8E17C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2F13161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CEC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0156B0B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presentations and identification of common institutional data flows</w:t>
            </w:r>
          </w:p>
        </w:tc>
        <w:tc>
          <w:tcPr>
            <w:tcW w:w="0" w:type="auto"/>
            <w:vAlign w:val="center"/>
            <w:hideMark/>
          </w:tcPr>
          <w:p w14:paraId="75C559C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6315DCB1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74A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3281E26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institutional data-processing inventory</w:t>
            </w:r>
          </w:p>
        </w:tc>
        <w:tc>
          <w:tcPr>
            <w:tcW w:w="0" w:type="auto"/>
            <w:vAlign w:val="center"/>
            <w:hideMark/>
          </w:tcPr>
          <w:p w14:paraId="3BD7DBB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</w:tbl>
    <w:p w14:paraId="58C055E1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4 — Compliance assessment and risk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503"/>
        <w:gridCol w:w="2310"/>
      </w:tblGrid>
      <w:tr w:rsidR="00367BF4" w:rsidRPr="00367BF4" w14:paraId="48225235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B81F0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FA4AEEC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BD792A9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4377B7B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9BF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3044FF7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Recap of institutional data mapping</w:t>
            </w:r>
          </w:p>
        </w:tc>
        <w:tc>
          <w:tcPr>
            <w:tcW w:w="0" w:type="auto"/>
            <w:vAlign w:val="center"/>
            <w:hideMark/>
          </w:tcPr>
          <w:p w14:paraId="620A62A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2FB8F54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153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63CBA79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 protection compliance assessment methodology</w:t>
            </w:r>
          </w:p>
        </w:tc>
        <w:tc>
          <w:tcPr>
            <w:tcW w:w="0" w:type="auto"/>
            <w:vAlign w:val="center"/>
            <w:hideMark/>
          </w:tcPr>
          <w:p w14:paraId="16EA25C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Resource person</w:t>
            </w:r>
          </w:p>
        </w:tc>
      </w:tr>
      <w:tr w:rsidR="00367BF4" w:rsidRPr="00367BF4" w14:paraId="4137E10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5DE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60CADD2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Existing KIPRE policies, controls and compliance mechanisms</w:t>
            </w:r>
          </w:p>
        </w:tc>
        <w:tc>
          <w:tcPr>
            <w:tcW w:w="0" w:type="auto"/>
            <w:vAlign w:val="center"/>
            <w:hideMark/>
          </w:tcPr>
          <w:p w14:paraId="6192363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</w:t>
            </w:r>
          </w:p>
        </w:tc>
      </w:tr>
      <w:tr w:rsidR="00367BF4" w:rsidRPr="00367BF4" w14:paraId="17257D8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69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37FCFE2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7FAFD25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3FDA9C3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15D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12A8928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assessment of compliance gaps</w:t>
            </w:r>
          </w:p>
        </w:tc>
        <w:tc>
          <w:tcPr>
            <w:tcW w:w="0" w:type="auto"/>
            <w:vAlign w:val="center"/>
            <w:hideMark/>
          </w:tcPr>
          <w:p w14:paraId="6809179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31521F0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228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D417D7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4782C8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1586DA7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0D8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5020D02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Privacy and data-protection risk identification</w:t>
            </w:r>
          </w:p>
        </w:tc>
        <w:tc>
          <w:tcPr>
            <w:tcW w:w="0" w:type="auto"/>
            <w:vAlign w:val="center"/>
            <w:hideMark/>
          </w:tcPr>
          <w:p w14:paraId="15DE8AF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Internal Audit / DPO</w:t>
            </w:r>
          </w:p>
        </w:tc>
      </w:tr>
      <w:tr w:rsidR="00367BF4" w:rsidRPr="00367BF4" w14:paraId="290CD78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BBF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73153B2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Risk prioritisation and treatment principles</w:t>
            </w:r>
          </w:p>
        </w:tc>
        <w:tc>
          <w:tcPr>
            <w:tcW w:w="0" w:type="auto"/>
            <w:vAlign w:val="center"/>
            <w:hideMark/>
          </w:tcPr>
          <w:p w14:paraId="108A69E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221FF3C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E48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190D2AF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293645C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069BB175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14B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5C43B0D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Development of institutional compliance gap matrix and risk register</w:t>
            </w:r>
          </w:p>
        </w:tc>
        <w:tc>
          <w:tcPr>
            <w:tcW w:w="0" w:type="auto"/>
            <w:vAlign w:val="center"/>
            <w:hideMark/>
          </w:tcPr>
          <w:p w14:paraId="2BE4E11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6AF1C96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8C4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2359512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 validation</w:t>
            </w:r>
          </w:p>
        </w:tc>
        <w:tc>
          <w:tcPr>
            <w:tcW w:w="0" w:type="auto"/>
            <w:vAlign w:val="center"/>
            <w:hideMark/>
          </w:tcPr>
          <w:p w14:paraId="348B9C2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</w:tbl>
    <w:p w14:paraId="58C924DA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5 — Policy review and harmonisation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5431"/>
        <w:gridCol w:w="2373"/>
      </w:tblGrid>
      <w:tr w:rsidR="00367BF4" w:rsidRPr="00367BF4" w14:paraId="774E8195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79956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DE23F6C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BA80180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419E9FB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3B8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17CE4A0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compliance gaps</w:t>
            </w:r>
          </w:p>
        </w:tc>
        <w:tc>
          <w:tcPr>
            <w:tcW w:w="0" w:type="auto"/>
            <w:vAlign w:val="center"/>
            <w:hideMark/>
          </w:tcPr>
          <w:p w14:paraId="5FFB2A9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  <w:tr w:rsidR="00367BF4" w:rsidRPr="00367BF4" w14:paraId="3BFEF1F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827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47346F5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KIPRE Data Management and Protection Policy</w:t>
            </w:r>
          </w:p>
        </w:tc>
        <w:tc>
          <w:tcPr>
            <w:tcW w:w="0" w:type="auto"/>
            <w:vAlign w:val="center"/>
            <w:hideMark/>
          </w:tcPr>
          <w:p w14:paraId="41A0418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DSAS</w:t>
            </w:r>
          </w:p>
        </w:tc>
      </w:tr>
      <w:tr w:rsidR="00367BF4" w:rsidRPr="00367BF4" w14:paraId="1544C2B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AE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68EBB9D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Policy alignment with legal and regulatory requirements</w:t>
            </w:r>
          </w:p>
        </w:tc>
        <w:tc>
          <w:tcPr>
            <w:tcW w:w="0" w:type="auto"/>
            <w:vAlign w:val="center"/>
            <w:hideMark/>
          </w:tcPr>
          <w:p w14:paraId="3645226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Legal / Resource person</w:t>
            </w:r>
          </w:p>
        </w:tc>
      </w:tr>
      <w:tr w:rsidR="00367BF4" w:rsidRPr="00367BF4" w14:paraId="2324D0B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103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0CF1CB6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33140C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18F9E0D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4A8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53A20AC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review of policy sections</w:t>
            </w:r>
          </w:p>
        </w:tc>
        <w:tc>
          <w:tcPr>
            <w:tcW w:w="0" w:type="auto"/>
            <w:vAlign w:val="center"/>
            <w:hideMark/>
          </w:tcPr>
          <w:p w14:paraId="0A84854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26559DA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6F1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6139E78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0572F60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7DFE892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BB3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14:00–15:30</w:t>
            </w:r>
          </w:p>
        </w:tc>
        <w:tc>
          <w:tcPr>
            <w:tcW w:w="0" w:type="auto"/>
            <w:vAlign w:val="center"/>
            <w:hideMark/>
          </w:tcPr>
          <w:p w14:paraId="5AF83B9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Harmonisation with the Institutional Data Governance Framework</w:t>
            </w:r>
          </w:p>
        </w:tc>
        <w:tc>
          <w:tcPr>
            <w:tcW w:w="0" w:type="auto"/>
            <w:vAlign w:val="center"/>
            <w:hideMark/>
          </w:tcPr>
          <w:p w14:paraId="0013430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</w:t>
            </w:r>
          </w:p>
        </w:tc>
      </w:tr>
      <w:tr w:rsidR="00367BF4" w:rsidRPr="00367BF4" w14:paraId="4BF6416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814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6E2A5B7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6A048F3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64C9424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479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271F3BA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proposed policy amendments</w:t>
            </w:r>
          </w:p>
        </w:tc>
        <w:tc>
          <w:tcPr>
            <w:tcW w:w="0" w:type="auto"/>
            <w:vAlign w:val="center"/>
            <w:hideMark/>
          </w:tcPr>
          <w:p w14:paraId="744060A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Drafting team</w:t>
            </w:r>
          </w:p>
        </w:tc>
      </w:tr>
      <w:tr w:rsidR="00367BF4" w:rsidRPr="00367BF4" w14:paraId="0A6B3236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ACF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6CF8F77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Agreement on policy revision actions</w:t>
            </w:r>
          </w:p>
        </w:tc>
        <w:tc>
          <w:tcPr>
            <w:tcW w:w="0" w:type="auto"/>
            <w:vAlign w:val="center"/>
            <w:hideMark/>
          </w:tcPr>
          <w:p w14:paraId="2639973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</w:t>
            </w:r>
          </w:p>
        </w:tc>
      </w:tr>
    </w:tbl>
    <w:p w14:paraId="4D72068D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6 — SOPs, templates and compliance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5507"/>
        <w:gridCol w:w="2308"/>
      </w:tblGrid>
      <w:tr w:rsidR="00367BF4" w:rsidRPr="00367BF4" w14:paraId="2B5E1458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22D42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93F153D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41EC451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1A0826C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414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3CB8C57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Recap and prioritisation of operational controls</w:t>
            </w:r>
          </w:p>
        </w:tc>
        <w:tc>
          <w:tcPr>
            <w:tcW w:w="0" w:type="auto"/>
            <w:vAlign w:val="center"/>
            <w:hideMark/>
          </w:tcPr>
          <w:p w14:paraId="177C63A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4E6AA23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F1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23175C4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 Protection Impact Assessment procedure</w:t>
            </w:r>
          </w:p>
        </w:tc>
        <w:tc>
          <w:tcPr>
            <w:tcW w:w="0" w:type="auto"/>
            <w:vAlign w:val="center"/>
            <w:hideMark/>
          </w:tcPr>
          <w:p w14:paraId="523B77A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Resource person</w:t>
            </w:r>
          </w:p>
        </w:tc>
      </w:tr>
      <w:tr w:rsidR="00367BF4" w:rsidRPr="00367BF4" w14:paraId="44F1932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735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4FFCD75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Personal-data breach detection, reporting and response</w:t>
            </w:r>
          </w:p>
        </w:tc>
        <w:tc>
          <w:tcPr>
            <w:tcW w:w="0" w:type="auto"/>
            <w:vAlign w:val="center"/>
            <w:hideMark/>
          </w:tcPr>
          <w:p w14:paraId="31DEA1C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ICT</w:t>
            </w:r>
          </w:p>
        </w:tc>
      </w:tr>
      <w:tr w:rsidR="00367BF4" w:rsidRPr="00367BF4" w14:paraId="790A1396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380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641D3DD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50DAE82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4B98C50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4A6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5D98C38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drafting of priority SOPs and templates</w:t>
            </w:r>
          </w:p>
        </w:tc>
        <w:tc>
          <w:tcPr>
            <w:tcW w:w="0" w:type="auto"/>
            <w:vAlign w:val="center"/>
            <w:hideMark/>
          </w:tcPr>
          <w:p w14:paraId="489307A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6C090BEB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0B4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E7BD6E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3FEFC29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141C7E6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3A3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599650B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Data-subject rights request procedure</w:t>
            </w:r>
          </w:p>
        </w:tc>
        <w:tc>
          <w:tcPr>
            <w:tcW w:w="0" w:type="auto"/>
            <w:vAlign w:val="center"/>
            <w:hideMark/>
          </w:tcPr>
          <w:p w14:paraId="76A431E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Legal</w:t>
            </w:r>
          </w:p>
        </w:tc>
      </w:tr>
      <w:tr w:rsidR="00367BF4" w:rsidRPr="00367BF4" w14:paraId="11CF6DE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3AD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03211D6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 retention, disposal and records management</w:t>
            </w:r>
          </w:p>
        </w:tc>
        <w:tc>
          <w:tcPr>
            <w:tcW w:w="0" w:type="auto"/>
            <w:vAlign w:val="center"/>
            <w:hideMark/>
          </w:tcPr>
          <w:p w14:paraId="2870FE1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Registry / DPO</w:t>
            </w:r>
          </w:p>
        </w:tc>
      </w:tr>
      <w:tr w:rsidR="00367BF4" w:rsidRPr="00367BF4" w14:paraId="19401B7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095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784B20F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753BFC0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53B38ADF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815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4FF1C48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Data-sharing, transfer and third-party processing controls</w:t>
            </w:r>
          </w:p>
        </w:tc>
        <w:tc>
          <w:tcPr>
            <w:tcW w:w="0" w:type="auto"/>
            <w:vAlign w:val="center"/>
            <w:hideMark/>
          </w:tcPr>
          <w:p w14:paraId="090D06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 / Legal / ICT</w:t>
            </w:r>
          </w:p>
        </w:tc>
      </w:tr>
      <w:tr w:rsidR="00367BF4" w:rsidRPr="00367BF4" w14:paraId="3845CB8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7DA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1757638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and allocation of post-retreat drafting responsibilities</w:t>
            </w:r>
          </w:p>
        </w:tc>
        <w:tc>
          <w:tcPr>
            <w:tcW w:w="0" w:type="auto"/>
            <w:vAlign w:val="center"/>
            <w:hideMark/>
          </w:tcPr>
          <w:p w14:paraId="0E92FEC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</w:tbl>
    <w:p w14:paraId="689CBCD9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lastRenderedPageBreak/>
        <w:t>Day 7 — Research, laboratory and health-data protection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422"/>
        <w:gridCol w:w="3457"/>
      </w:tblGrid>
      <w:tr w:rsidR="00367BF4" w:rsidRPr="00367BF4" w14:paraId="3AF14611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5B862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67F627D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FF23BE9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07932EA6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CDB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59F5F9F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Recap of operational controls</w:t>
            </w:r>
          </w:p>
        </w:tc>
        <w:tc>
          <w:tcPr>
            <w:tcW w:w="0" w:type="auto"/>
            <w:vAlign w:val="center"/>
            <w:hideMark/>
          </w:tcPr>
          <w:p w14:paraId="4C8439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  <w:tr w:rsidR="00367BF4" w:rsidRPr="00367BF4" w14:paraId="5257104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56F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7B22389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Data protection in biomedical and health research</w:t>
            </w:r>
          </w:p>
        </w:tc>
        <w:tc>
          <w:tcPr>
            <w:tcW w:w="0" w:type="auto"/>
            <w:vAlign w:val="center"/>
            <w:hideMark/>
          </w:tcPr>
          <w:p w14:paraId="6AE0EFA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Research representative / Resource person</w:t>
            </w:r>
          </w:p>
        </w:tc>
      </w:tr>
      <w:tr w:rsidR="00367BF4" w:rsidRPr="00367BF4" w14:paraId="2DB3FCD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F3D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3EF36C7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Protection of research participant and clinical data</w:t>
            </w:r>
          </w:p>
        </w:tc>
        <w:tc>
          <w:tcPr>
            <w:tcW w:w="0" w:type="auto"/>
            <w:vAlign w:val="center"/>
            <w:hideMark/>
          </w:tcPr>
          <w:p w14:paraId="1B94920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Research / Ethics</w:t>
            </w:r>
          </w:p>
        </w:tc>
      </w:tr>
      <w:tr w:rsidR="00367BF4" w:rsidRPr="00367BF4" w14:paraId="20884FD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01E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016DB21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6855040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0B48D6B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F0F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10:45–12:00</w:t>
            </w:r>
          </w:p>
        </w:tc>
        <w:tc>
          <w:tcPr>
            <w:tcW w:w="0" w:type="auto"/>
            <w:vAlign w:val="center"/>
            <w:hideMark/>
          </w:tcPr>
          <w:p w14:paraId="29AB577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Laboratory, biological and genomic data governance</w:t>
            </w:r>
          </w:p>
        </w:tc>
        <w:tc>
          <w:tcPr>
            <w:tcW w:w="0" w:type="auto"/>
            <w:vAlign w:val="center"/>
            <w:hideMark/>
          </w:tcPr>
          <w:p w14:paraId="2D46AC3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Laboratory / DSAS</w:t>
            </w:r>
          </w:p>
        </w:tc>
      </w:tr>
      <w:tr w:rsidR="00367BF4" w:rsidRPr="00367BF4" w14:paraId="2B5413C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776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12:00–13:00</w:t>
            </w:r>
          </w:p>
        </w:tc>
        <w:tc>
          <w:tcPr>
            <w:tcW w:w="0" w:type="auto"/>
            <w:vAlign w:val="center"/>
            <w:hideMark/>
          </w:tcPr>
          <w:p w14:paraId="2A2DA2B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Secondary use, research collaboration and data sharing</w:t>
            </w:r>
          </w:p>
        </w:tc>
        <w:tc>
          <w:tcPr>
            <w:tcW w:w="0" w:type="auto"/>
            <w:vAlign w:val="center"/>
            <w:hideMark/>
          </w:tcPr>
          <w:p w14:paraId="33C86EE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Research / DPO</w:t>
            </w:r>
          </w:p>
        </w:tc>
      </w:tr>
      <w:tr w:rsidR="00367BF4" w:rsidRPr="00367BF4" w14:paraId="3A2241C7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5E9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31A091E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780A31B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2001FBA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325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3992965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International data sharing and cross-border data transfers</w:t>
            </w:r>
          </w:p>
        </w:tc>
        <w:tc>
          <w:tcPr>
            <w:tcW w:w="0" w:type="auto"/>
            <w:vAlign w:val="center"/>
            <w:hideMark/>
          </w:tcPr>
          <w:p w14:paraId="479E53C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Legal / DPO</w:t>
            </w:r>
          </w:p>
        </w:tc>
      </w:tr>
      <w:tr w:rsidR="00367BF4" w:rsidRPr="00367BF4" w14:paraId="2F54529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F14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491B2DE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proofErr w:type="spellStart"/>
            <w:r w:rsidRPr="00367BF4">
              <w:rPr>
                <w:lang w:val="en-KE"/>
              </w:rPr>
              <w:t>DPIAs</w:t>
            </w:r>
            <w:proofErr w:type="spellEnd"/>
            <w:r w:rsidRPr="00367BF4">
              <w:rPr>
                <w:lang w:val="en-KE"/>
              </w:rPr>
              <w:t xml:space="preserve"> for research and other high-risk processing</w:t>
            </w:r>
          </w:p>
        </w:tc>
        <w:tc>
          <w:tcPr>
            <w:tcW w:w="0" w:type="auto"/>
            <w:vAlign w:val="center"/>
            <w:hideMark/>
          </w:tcPr>
          <w:p w14:paraId="32BD9D9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</w:t>
            </w:r>
          </w:p>
        </w:tc>
      </w:tr>
      <w:tr w:rsidR="00367BF4" w:rsidRPr="00367BF4" w14:paraId="59723AD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904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37DB69C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7774DDE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417B2F2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317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5C41EF1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exercise: research data protection scenarios</w:t>
            </w:r>
          </w:p>
        </w:tc>
        <w:tc>
          <w:tcPr>
            <w:tcW w:w="0" w:type="auto"/>
            <w:vAlign w:val="center"/>
            <w:hideMark/>
          </w:tcPr>
          <w:p w14:paraId="687DE9B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31CCF31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9F3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446136C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 discussion and recommendations</w:t>
            </w:r>
          </w:p>
        </w:tc>
        <w:tc>
          <w:tcPr>
            <w:tcW w:w="0" w:type="auto"/>
            <w:vAlign w:val="center"/>
            <w:hideMark/>
          </w:tcPr>
          <w:p w14:paraId="6080370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</w:tbl>
    <w:p w14:paraId="1E96C5D9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8 — Development of the Data Protection Compliance Implementation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969"/>
        <w:gridCol w:w="1834"/>
      </w:tblGrid>
      <w:tr w:rsidR="00367BF4" w:rsidRPr="00367BF4" w14:paraId="5E744DF6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DF6A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02F7A739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1D6F4A5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3B24847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B60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5757E8D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identified gaps and priority risks</w:t>
            </w:r>
          </w:p>
        </w:tc>
        <w:tc>
          <w:tcPr>
            <w:tcW w:w="0" w:type="auto"/>
            <w:vAlign w:val="center"/>
            <w:hideMark/>
          </w:tcPr>
          <w:p w14:paraId="628C4AF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2FF0C3C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1BC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500764C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Strategy development framework</w:t>
            </w:r>
          </w:p>
        </w:tc>
        <w:tc>
          <w:tcPr>
            <w:tcW w:w="0" w:type="auto"/>
            <w:vAlign w:val="center"/>
            <w:hideMark/>
          </w:tcPr>
          <w:p w14:paraId="46B1D97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 / DPO</w:t>
            </w:r>
          </w:p>
        </w:tc>
      </w:tr>
      <w:tr w:rsidR="00367BF4" w:rsidRPr="00367BF4" w14:paraId="461E770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CA4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1467201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Proposed strategic pillars and institutional priorities</w:t>
            </w:r>
          </w:p>
        </w:tc>
        <w:tc>
          <w:tcPr>
            <w:tcW w:w="0" w:type="auto"/>
            <w:vAlign w:val="center"/>
            <w:hideMark/>
          </w:tcPr>
          <w:p w14:paraId="53462C4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007203E7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982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65DE914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2678B98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298407A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6D9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44D4137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work: strategic objectives, interventions and outputs</w:t>
            </w:r>
          </w:p>
        </w:tc>
        <w:tc>
          <w:tcPr>
            <w:tcW w:w="0" w:type="auto"/>
            <w:vAlign w:val="center"/>
            <w:hideMark/>
          </w:tcPr>
          <w:p w14:paraId="16FAAB2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34E636D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46E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2D7B13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7B70FC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4014FA1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C14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14:00–15:30</w:t>
            </w:r>
          </w:p>
        </w:tc>
        <w:tc>
          <w:tcPr>
            <w:tcW w:w="0" w:type="auto"/>
            <w:vAlign w:val="center"/>
            <w:hideMark/>
          </w:tcPr>
          <w:p w14:paraId="764CAAB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Development of implementation indicators and monitoring mechanisms</w:t>
            </w:r>
          </w:p>
        </w:tc>
        <w:tc>
          <w:tcPr>
            <w:tcW w:w="0" w:type="auto"/>
            <w:vAlign w:val="center"/>
            <w:hideMark/>
          </w:tcPr>
          <w:p w14:paraId="763DE8B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Planning / M&amp;E</w:t>
            </w:r>
          </w:p>
        </w:tc>
      </w:tr>
      <w:tr w:rsidR="00367BF4" w:rsidRPr="00367BF4" w14:paraId="0DFCBDF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F15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4DF6896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0601CC0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617896D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D15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043C1FA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strategy</w:t>
            </w:r>
          </w:p>
        </w:tc>
        <w:tc>
          <w:tcPr>
            <w:tcW w:w="0" w:type="auto"/>
            <w:vAlign w:val="center"/>
            <w:hideMark/>
          </w:tcPr>
          <w:p w14:paraId="1196CE6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Drafting team</w:t>
            </w:r>
          </w:p>
        </w:tc>
      </w:tr>
      <w:tr w:rsidR="00367BF4" w:rsidRPr="00367BF4" w14:paraId="02EE66B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842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7B6096C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 review</w:t>
            </w:r>
          </w:p>
        </w:tc>
        <w:tc>
          <w:tcPr>
            <w:tcW w:w="0" w:type="auto"/>
            <w:vAlign w:val="center"/>
            <w:hideMark/>
          </w:tcPr>
          <w:p w14:paraId="4385E6A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Participants</w:t>
            </w:r>
          </w:p>
        </w:tc>
      </w:tr>
    </w:tbl>
    <w:p w14:paraId="0EE7505A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9 — Costed implementation work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5744"/>
        <w:gridCol w:w="1972"/>
      </w:tblGrid>
      <w:tr w:rsidR="00367BF4" w:rsidRPr="00367BF4" w14:paraId="20818986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4651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150760F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6CDCEC1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0416EF4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9CA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34D69E8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draft implementation strategy</w:t>
            </w:r>
          </w:p>
        </w:tc>
        <w:tc>
          <w:tcPr>
            <w:tcW w:w="0" w:type="auto"/>
            <w:vAlign w:val="center"/>
            <w:hideMark/>
          </w:tcPr>
          <w:p w14:paraId="288B53B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579D661D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5E0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09:00–10:00</w:t>
            </w:r>
          </w:p>
        </w:tc>
        <w:tc>
          <w:tcPr>
            <w:tcW w:w="0" w:type="auto"/>
            <w:vAlign w:val="center"/>
            <w:hideMark/>
          </w:tcPr>
          <w:p w14:paraId="4055FB3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Translating strategic priorities into activities and deliverables</w:t>
            </w:r>
          </w:p>
        </w:tc>
        <w:tc>
          <w:tcPr>
            <w:tcW w:w="0" w:type="auto"/>
            <w:vAlign w:val="center"/>
            <w:hideMark/>
          </w:tcPr>
          <w:p w14:paraId="3D93512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Planning / DSAS</w:t>
            </w:r>
          </w:p>
        </w:tc>
      </w:tr>
      <w:tr w:rsidR="00367BF4" w:rsidRPr="00367BF4" w14:paraId="0292CE8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46A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179AE9B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Responsibility assignment and implementation sequencing</w:t>
            </w:r>
          </w:p>
        </w:tc>
        <w:tc>
          <w:tcPr>
            <w:tcW w:w="0" w:type="auto"/>
            <w:vAlign w:val="center"/>
            <w:hideMark/>
          </w:tcPr>
          <w:p w14:paraId="2D03B71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Facilitator</w:t>
            </w:r>
          </w:p>
        </w:tc>
      </w:tr>
      <w:tr w:rsidR="00367BF4" w:rsidRPr="00367BF4" w14:paraId="73894B1E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281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5B53020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1A81759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5E39DFCE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A43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10:45–13:00</w:t>
            </w:r>
          </w:p>
        </w:tc>
        <w:tc>
          <w:tcPr>
            <w:tcW w:w="0" w:type="auto"/>
            <w:vAlign w:val="center"/>
            <w:hideMark/>
          </w:tcPr>
          <w:p w14:paraId="0D9109E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Group development of implementation matrix</w:t>
            </w:r>
          </w:p>
        </w:tc>
        <w:tc>
          <w:tcPr>
            <w:tcW w:w="0" w:type="auto"/>
            <w:vAlign w:val="center"/>
            <w:hideMark/>
          </w:tcPr>
          <w:p w14:paraId="10350CD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Working groups</w:t>
            </w:r>
          </w:p>
        </w:tc>
      </w:tr>
      <w:tr w:rsidR="00367BF4" w:rsidRPr="00367BF4" w14:paraId="59A8844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C3E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EA7DF4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592E20A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7C4D432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AC8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42D27FE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Resource and capacity requirements</w:t>
            </w:r>
          </w:p>
        </w:tc>
        <w:tc>
          <w:tcPr>
            <w:tcW w:w="0" w:type="auto"/>
            <w:vAlign w:val="center"/>
            <w:hideMark/>
          </w:tcPr>
          <w:p w14:paraId="20807D2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Finance / HR / ICT</w:t>
            </w:r>
          </w:p>
        </w:tc>
      </w:tr>
      <w:tr w:rsidR="00367BF4" w:rsidRPr="00367BF4" w14:paraId="7064D52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81F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43288C8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Costing methodology and budget development</w:t>
            </w:r>
          </w:p>
        </w:tc>
        <w:tc>
          <w:tcPr>
            <w:tcW w:w="0" w:type="auto"/>
            <w:vAlign w:val="center"/>
            <w:hideMark/>
          </w:tcPr>
          <w:p w14:paraId="05A39A5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Finance / Planning</w:t>
            </w:r>
          </w:p>
        </w:tc>
      </w:tr>
      <w:tr w:rsidR="00367BF4" w:rsidRPr="00367BF4" w14:paraId="4DD0E51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C89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4789A5F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06B0F5C3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48E51A63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DC5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15:45–16:45</w:t>
            </w:r>
          </w:p>
        </w:tc>
        <w:tc>
          <w:tcPr>
            <w:tcW w:w="0" w:type="auto"/>
            <w:vAlign w:val="center"/>
            <w:hideMark/>
          </w:tcPr>
          <w:p w14:paraId="70412E7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Consolidation of costed implementation work plan</w:t>
            </w:r>
          </w:p>
        </w:tc>
        <w:tc>
          <w:tcPr>
            <w:tcW w:w="0" w:type="auto"/>
            <w:vAlign w:val="center"/>
            <w:hideMark/>
          </w:tcPr>
          <w:p w14:paraId="0FA1AFE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Drafting team</w:t>
            </w:r>
          </w:p>
        </w:tc>
      </w:tr>
      <w:tr w:rsidR="00367BF4" w:rsidRPr="00367BF4" w14:paraId="0C2C4D5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250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56C347F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and agreement on outstanding items</w:t>
            </w:r>
          </w:p>
        </w:tc>
        <w:tc>
          <w:tcPr>
            <w:tcW w:w="0" w:type="auto"/>
            <w:vAlign w:val="center"/>
            <w:hideMark/>
          </w:tcPr>
          <w:p w14:paraId="1CABF6E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</w:t>
            </w:r>
          </w:p>
        </w:tc>
      </w:tr>
    </w:tbl>
    <w:p w14:paraId="1A9FF6BF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Day 10 — Validation, adoption and way forward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5156"/>
        <w:gridCol w:w="2728"/>
      </w:tblGrid>
      <w:tr w:rsidR="00367BF4" w:rsidRPr="00367BF4" w14:paraId="3C507049" w14:textId="77777777" w:rsidTr="0036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9C5B2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B1FC02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F1D90FF" w14:textId="77777777" w:rsidR="00367BF4" w:rsidRPr="00367BF4" w:rsidRDefault="00367BF4" w:rsidP="00757767">
            <w:pPr>
              <w:jc w:val="both"/>
              <w:rPr>
                <w:b/>
                <w:bCs/>
                <w:lang w:val="en-KE"/>
              </w:rPr>
            </w:pPr>
            <w:r w:rsidRPr="00367BF4">
              <w:rPr>
                <w:b/>
                <w:bCs/>
                <w:lang w:val="en-KE"/>
              </w:rPr>
              <w:t>Lead/Facilitator</w:t>
            </w:r>
          </w:p>
        </w:tc>
      </w:tr>
      <w:tr w:rsidR="00367BF4" w:rsidRPr="00367BF4" w14:paraId="6795AB2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7EB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08:30–09:00</w:t>
            </w:r>
          </w:p>
        </w:tc>
        <w:tc>
          <w:tcPr>
            <w:tcW w:w="0" w:type="auto"/>
            <w:vAlign w:val="center"/>
            <w:hideMark/>
          </w:tcPr>
          <w:p w14:paraId="4939A59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Review of retreat outputs</w:t>
            </w:r>
          </w:p>
        </w:tc>
        <w:tc>
          <w:tcPr>
            <w:tcW w:w="0" w:type="auto"/>
            <w:vAlign w:val="center"/>
            <w:hideMark/>
          </w:tcPr>
          <w:p w14:paraId="439288C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Secretariat</w:t>
            </w:r>
          </w:p>
        </w:tc>
      </w:tr>
      <w:tr w:rsidR="00367BF4" w:rsidRPr="00367BF4" w14:paraId="12F9C87F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033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09:00–10:30</w:t>
            </w:r>
          </w:p>
        </w:tc>
        <w:tc>
          <w:tcPr>
            <w:tcW w:w="0" w:type="auto"/>
            <w:vAlign w:val="center"/>
            <w:hideMark/>
          </w:tcPr>
          <w:p w14:paraId="278BF4C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Presentation of the Institutional Data Protection Governance Framework</w:t>
            </w:r>
          </w:p>
        </w:tc>
        <w:tc>
          <w:tcPr>
            <w:tcW w:w="0" w:type="auto"/>
            <w:vAlign w:val="center"/>
            <w:hideMark/>
          </w:tcPr>
          <w:p w14:paraId="3F39443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DSAS / DPO</w:t>
            </w:r>
          </w:p>
        </w:tc>
      </w:tr>
      <w:tr w:rsidR="00367BF4" w:rsidRPr="00367BF4" w14:paraId="7DD6830C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689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10:30–10:45</w:t>
            </w:r>
          </w:p>
        </w:tc>
        <w:tc>
          <w:tcPr>
            <w:tcW w:w="0" w:type="auto"/>
            <w:vAlign w:val="center"/>
            <w:hideMark/>
          </w:tcPr>
          <w:p w14:paraId="32F1072C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63ACF8E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5217CB1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533B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10:45–12:00</w:t>
            </w:r>
          </w:p>
        </w:tc>
        <w:tc>
          <w:tcPr>
            <w:tcW w:w="0" w:type="auto"/>
            <w:vAlign w:val="center"/>
            <w:hideMark/>
          </w:tcPr>
          <w:p w14:paraId="087BB94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Presentation of compliance assessment and priority gaps</w:t>
            </w:r>
          </w:p>
        </w:tc>
        <w:tc>
          <w:tcPr>
            <w:tcW w:w="0" w:type="auto"/>
            <w:vAlign w:val="center"/>
            <w:hideMark/>
          </w:tcPr>
          <w:p w14:paraId="0D7EBCA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DPO</w:t>
            </w:r>
          </w:p>
        </w:tc>
      </w:tr>
      <w:tr w:rsidR="00367BF4" w:rsidRPr="00367BF4" w14:paraId="38762702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710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12:00–13:00</w:t>
            </w:r>
          </w:p>
        </w:tc>
        <w:tc>
          <w:tcPr>
            <w:tcW w:w="0" w:type="auto"/>
            <w:vAlign w:val="center"/>
            <w:hideMark/>
          </w:tcPr>
          <w:p w14:paraId="6517BF1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Presentation of Data Protection Compliance Implementation Strategy</w:t>
            </w:r>
          </w:p>
        </w:tc>
        <w:tc>
          <w:tcPr>
            <w:tcW w:w="0" w:type="auto"/>
            <w:vAlign w:val="center"/>
            <w:hideMark/>
          </w:tcPr>
          <w:p w14:paraId="5B0A629E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Drafting team</w:t>
            </w:r>
          </w:p>
        </w:tc>
      </w:tr>
      <w:tr w:rsidR="00367BF4" w:rsidRPr="00367BF4" w14:paraId="3CA5C3E9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48E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lastRenderedPageBreak/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09CF885A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79AEA96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61874238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A646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14:00–15:00</w:t>
            </w:r>
          </w:p>
        </w:tc>
        <w:tc>
          <w:tcPr>
            <w:tcW w:w="0" w:type="auto"/>
            <w:vAlign w:val="center"/>
            <w:hideMark/>
          </w:tcPr>
          <w:p w14:paraId="104CA319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Presentation of costed implementation work plan</w:t>
            </w:r>
          </w:p>
        </w:tc>
        <w:tc>
          <w:tcPr>
            <w:tcW w:w="0" w:type="auto"/>
            <w:vAlign w:val="center"/>
            <w:hideMark/>
          </w:tcPr>
          <w:p w14:paraId="6719BD7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Planning / Finance</w:t>
            </w:r>
          </w:p>
        </w:tc>
      </w:tr>
      <w:tr w:rsidR="00367BF4" w:rsidRPr="00367BF4" w14:paraId="7116778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4812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15:00–15:30</w:t>
            </w:r>
          </w:p>
        </w:tc>
        <w:tc>
          <w:tcPr>
            <w:tcW w:w="0" w:type="auto"/>
            <w:vAlign w:val="center"/>
            <w:hideMark/>
          </w:tcPr>
          <w:p w14:paraId="484D995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Plenary validation and amendments</w:t>
            </w:r>
          </w:p>
        </w:tc>
        <w:tc>
          <w:tcPr>
            <w:tcW w:w="0" w:type="auto"/>
            <w:vAlign w:val="center"/>
            <w:hideMark/>
          </w:tcPr>
          <w:p w14:paraId="64000D9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Participants</w:t>
            </w:r>
          </w:p>
        </w:tc>
      </w:tr>
      <w:tr w:rsidR="00367BF4" w:rsidRPr="00367BF4" w14:paraId="3E60E7DA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704D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15:30–15:45</w:t>
            </w:r>
          </w:p>
        </w:tc>
        <w:tc>
          <w:tcPr>
            <w:tcW w:w="0" w:type="auto"/>
            <w:vAlign w:val="center"/>
            <w:hideMark/>
          </w:tcPr>
          <w:p w14:paraId="6727E4C1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Tea break</w:t>
            </w:r>
          </w:p>
        </w:tc>
        <w:tc>
          <w:tcPr>
            <w:tcW w:w="0" w:type="auto"/>
            <w:vAlign w:val="center"/>
            <w:hideMark/>
          </w:tcPr>
          <w:p w14:paraId="007FB57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</w:p>
        </w:tc>
      </w:tr>
      <w:tr w:rsidR="00367BF4" w:rsidRPr="00367BF4" w14:paraId="5313DFD4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5F54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15:45–16:15</w:t>
            </w:r>
          </w:p>
        </w:tc>
        <w:tc>
          <w:tcPr>
            <w:tcW w:w="0" w:type="auto"/>
            <w:vAlign w:val="center"/>
            <w:hideMark/>
          </w:tcPr>
          <w:p w14:paraId="1774E33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Agreement on immediate 30-, 60- and 90-day actions</w:t>
            </w:r>
          </w:p>
        </w:tc>
        <w:tc>
          <w:tcPr>
            <w:tcW w:w="0" w:type="auto"/>
            <w:vAlign w:val="center"/>
            <w:hideMark/>
          </w:tcPr>
          <w:p w14:paraId="7A3EB788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Management / DPO</w:t>
            </w:r>
          </w:p>
        </w:tc>
      </w:tr>
      <w:tr w:rsidR="00367BF4" w:rsidRPr="00367BF4" w14:paraId="166AFB55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B8EF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16:15–16:45</w:t>
            </w:r>
          </w:p>
        </w:tc>
        <w:tc>
          <w:tcPr>
            <w:tcW w:w="0" w:type="auto"/>
            <w:vAlign w:val="center"/>
            <w:hideMark/>
          </w:tcPr>
          <w:p w14:paraId="6489786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Confirmation of governance, reporting and monitoring arrangements</w:t>
            </w:r>
          </w:p>
        </w:tc>
        <w:tc>
          <w:tcPr>
            <w:tcW w:w="0" w:type="auto"/>
            <w:vAlign w:val="center"/>
            <w:hideMark/>
          </w:tcPr>
          <w:p w14:paraId="08DCB727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Management / DPO</w:t>
            </w:r>
          </w:p>
        </w:tc>
      </w:tr>
      <w:tr w:rsidR="00367BF4" w:rsidRPr="00367BF4" w14:paraId="33A215B0" w14:textId="77777777" w:rsidTr="0036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AD2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16:45–17:00</w:t>
            </w:r>
          </w:p>
        </w:tc>
        <w:tc>
          <w:tcPr>
            <w:tcW w:w="0" w:type="auto"/>
            <w:vAlign w:val="center"/>
            <w:hideMark/>
          </w:tcPr>
          <w:p w14:paraId="16571FF0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Closing remarks and way forward</w:t>
            </w:r>
          </w:p>
        </w:tc>
        <w:tc>
          <w:tcPr>
            <w:tcW w:w="0" w:type="auto"/>
            <w:vAlign w:val="center"/>
            <w:hideMark/>
          </w:tcPr>
          <w:p w14:paraId="2770F635" w14:textId="77777777" w:rsidR="00367BF4" w:rsidRPr="00367BF4" w:rsidRDefault="00367BF4" w:rsidP="00757767">
            <w:pPr>
              <w:jc w:val="both"/>
              <w:rPr>
                <w:lang w:val="en-KE"/>
              </w:rPr>
            </w:pPr>
            <w:r w:rsidRPr="00367BF4">
              <w:rPr>
                <w:lang w:val="en-KE"/>
              </w:rPr>
              <w:t>Director General / Management</w:t>
            </w:r>
          </w:p>
        </w:tc>
      </w:tr>
    </w:tbl>
    <w:p w14:paraId="6C26D0E2" w14:textId="77777777" w:rsidR="00367BF4" w:rsidRPr="00367BF4" w:rsidRDefault="00367BF4" w:rsidP="00757767">
      <w:pPr>
        <w:jc w:val="both"/>
        <w:rPr>
          <w:b/>
          <w:bCs/>
          <w:lang w:val="en-KE"/>
        </w:rPr>
      </w:pPr>
      <w:r w:rsidRPr="00367BF4">
        <w:rPr>
          <w:b/>
          <w:bCs/>
          <w:lang w:val="en-KE"/>
        </w:rPr>
        <w:t>Core retreat deliverables</w:t>
      </w:r>
    </w:p>
    <w:p w14:paraId="2828670A" w14:textId="77777777" w:rsidR="00367BF4" w:rsidRPr="00367BF4" w:rsidRDefault="00367BF4" w:rsidP="00757767">
      <w:pPr>
        <w:jc w:val="both"/>
        <w:rPr>
          <w:lang w:val="en-KE"/>
        </w:rPr>
      </w:pPr>
      <w:r w:rsidRPr="00367BF4">
        <w:rPr>
          <w:lang w:val="en-KE"/>
        </w:rPr>
        <w:t>At the conclusion of the retreat, the following institutional outputs should be available for finalisation and submission to Management:</w:t>
      </w:r>
    </w:p>
    <w:p w14:paraId="3105A4B4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Institutional data protection compliance assessment report.</w:t>
      </w:r>
    </w:p>
    <w:p w14:paraId="408C5E77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Institutional data-processing inventory and preliminary data-flow maps.</w:t>
      </w:r>
    </w:p>
    <w:p w14:paraId="6410C33C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Institutional data protection risk register and compliance gap matrix.</w:t>
      </w:r>
    </w:p>
    <w:p w14:paraId="721EC3FD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Revised KIPRE Data Management and Protection Policy.</w:t>
      </w:r>
    </w:p>
    <w:p w14:paraId="2151B008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Institutional data protection governance and accountability structure.</w:t>
      </w:r>
    </w:p>
    <w:p w14:paraId="55DAE4C4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Data Protection Champion framework.</w:t>
      </w:r>
    </w:p>
    <w:p w14:paraId="49872671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Priority data protection SOPs and compliance templates.</w:t>
      </w:r>
    </w:p>
    <w:p w14:paraId="60DAA4D3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DPIA procedure and supporting tools.</w:t>
      </w:r>
    </w:p>
    <w:p w14:paraId="3EF22272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Data-breach management and response framework.</w:t>
      </w:r>
    </w:p>
    <w:p w14:paraId="6A20498D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Data-subject rights management procedure.</w:t>
      </w:r>
    </w:p>
    <w:p w14:paraId="73B293C4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Data-sharing and third-party processing controls.</w:t>
      </w:r>
    </w:p>
    <w:p w14:paraId="24DBB579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lastRenderedPageBreak/>
        <w:t>KIPRE Data Protection Compliance Implementation Strategy.</w:t>
      </w:r>
    </w:p>
    <w:p w14:paraId="1BCDB2C2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Costed implementation work plan.</w:t>
      </w:r>
    </w:p>
    <w:p w14:paraId="3D4F811D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Monitoring, evaluation and reporting framework.</w:t>
      </w:r>
    </w:p>
    <w:p w14:paraId="2E18F7B3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Immediate 30-, 60- and 90-day implementation action plan.</w:t>
      </w:r>
    </w:p>
    <w:p w14:paraId="0EE3506B" w14:textId="77777777" w:rsidR="00367BF4" w:rsidRPr="00367BF4" w:rsidRDefault="00367BF4" w:rsidP="00757767">
      <w:pPr>
        <w:numPr>
          <w:ilvl w:val="0"/>
          <w:numId w:val="1"/>
        </w:numPr>
        <w:jc w:val="both"/>
        <w:rPr>
          <w:lang w:val="en-KE"/>
        </w:rPr>
      </w:pPr>
      <w:r w:rsidRPr="00367BF4">
        <w:rPr>
          <w:lang w:val="en-KE"/>
        </w:rPr>
        <w:t>Final retreat report containing recommendations for Management.</w:t>
      </w:r>
    </w:p>
    <w:p w14:paraId="0A68CCE5" w14:textId="77777777" w:rsidR="00C25C7F" w:rsidRDefault="00C25C7F" w:rsidP="00757767">
      <w:pPr>
        <w:jc w:val="both"/>
      </w:pPr>
    </w:p>
    <w:sectPr w:rsidR="00C2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E5498"/>
    <w:multiLevelType w:val="multilevel"/>
    <w:tmpl w:val="1022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67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F4"/>
    <w:rsid w:val="00367BF4"/>
    <w:rsid w:val="00463947"/>
    <w:rsid w:val="00614BD0"/>
    <w:rsid w:val="00757767"/>
    <w:rsid w:val="00B34683"/>
    <w:rsid w:val="00C2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50EF"/>
  <w15:chartTrackingRefBased/>
  <w15:docId w15:val="{5220E561-67D8-4B4E-A56B-93775F99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2056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Mwaura, Patrick (ILRI)</dc:creator>
  <cp:keywords/>
  <dc:description/>
  <cp:lastModifiedBy>Mwaura, Patrick (ILRI)</cp:lastModifiedBy>
  <cp:revision>2</cp:revision>
  <cp:lastPrinted>2026-09-23T13:57:00Z</cp:lastPrinted>
  <dcterms:created xsi:type="dcterms:W3CDTF">2026-09-23T13:49:00Z</dcterms:created>
  <dcterms:modified xsi:type="dcterms:W3CDTF">2026-09-23T13:58:00Z</dcterms:modified>
</cp:coreProperties>
</file>