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1200"/>
      </w:pPr>
      <w:r>
        <w:t xml:space="preserve"/>
      </w:r>
    </w:p>
    <w:p>
      <w:pPr>
        <w:pBdr>
          <w:left w:val="single" w:color="1d9e75" w:sz="24" w:space="12"/>
        </w:pBdr>
        <w:spacing w:before="0" w:after="80"/>
        <w:jc w:val="left"/>
      </w:pPr>
      <w:r>
        <w:rPr>
          <w:rFonts w:ascii="Arial" w:cs="Arial" w:eastAsia="Arial" w:hAnsi="Arial"/>
          <w:color w:val="6b6b67"/>
          <w:sz w:val="44"/>
          <w:szCs w:val="44"/>
        </w:rPr>
        <w:t xml:space="preserve">Gebruikershandleiding</w:t>
      </w:r>
      <w:r>
        <w:br/>
      </w:r>
      <w:r>
        <w:rPr>
          <w:rFonts w:ascii="Arial" w:cs="Arial" w:eastAsia="Arial" w:hAnsi="Arial"/>
          <w:b/>
          <w:bCs/>
          <w:color w:val="0f0f0e"/>
          <w:sz w:val="56"/>
          <w:szCs w:val="56"/>
        </w:rPr>
        <w:t xml:space="preserve">AdviesFocus Pensioenadviseurplatform</w:t>
      </w:r>
    </w:p>
    <w:p>
      <w:pPr>
        <w:spacing w:before="80" w:after="80"/>
      </w:pPr>
      <w:r>
        <w:t xml:space="preserve"/>
      </w:r>
    </w:p>
    <w:p>
      <w:pPr>
        <w:spacing w:before="60" w:after="80"/>
      </w:pPr>
      <w:r>
        <w:rPr>
          <w:rFonts w:ascii="Arial" w:cs="Arial" w:eastAsia="Arial" w:hAnsi="Arial"/>
          <w:b w:val="false"/>
          <w:bCs w:val="false"/>
          <w:i/>
          <w:iCs/>
          <w:color w:val="6b6b67"/>
          <w:sz w:val="22"/>
          <w:szCs w:val="22"/>
        </w:rPr>
        <w:t xml:space="preserve">Versie 1.0  ·  2026  ·  Voor pensioenadviseurs</w:t>
      </w:r>
    </w:p>
    <w:p>
      <w:pPr>
        <w:pBdr>
          <w:bottom w:val="single" w:color="e2e0d9" w:sz="1"/>
        </w:pBdr>
        <w:spacing w:before="160" w:after="160"/>
      </w:pPr>
    </w:p>
    <w:p>
      <w:pPr>
        <w:spacing w:before="50" w:after="50"/>
      </w:pPr>
      <w:r>
        <w:rPr>
          <w:rFonts w:ascii="Arial" w:cs="Arial" w:eastAsia="Arial" w:hAnsi="Arial"/>
          <w:b/>
          <w:bCs/>
          <w:color w:val="6b6b67"/>
          <w:sz w:val="20"/>
          <w:szCs w:val="20"/>
        </w:rPr>
        <w:t xml:space="preserve">Doelgroep:  </w:t>
      </w:r>
      <w:r>
        <w:rPr>
          <w:rFonts w:ascii="Arial" w:cs="Arial" w:eastAsia="Arial" w:hAnsi="Arial"/>
          <w:color w:val="3d3d3a"/>
          <w:sz w:val="20"/>
          <w:szCs w:val="20"/>
        </w:rPr>
        <w:t xml:space="preserve">Pensioenadviseurs (Wft Pensioen) en kantoormedewerkers</w:t>
      </w:r>
    </w:p>
    <w:p>
      <w:pPr>
        <w:spacing w:before="50" w:after="50"/>
      </w:pPr>
      <w:r>
        <w:rPr>
          <w:rFonts w:ascii="Arial" w:cs="Arial" w:eastAsia="Arial" w:hAnsi="Arial"/>
          <w:b/>
          <w:bCs/>
          <w:color w:val="6b6b67"/>
          <w:sz w:val="20"/>
          <w:szCs w:val="20"/>
        </w:rPr>
        <w:t xml:space="preserve">Versie:  </w:t>
      </w:r>
      <w:r>
        <w:rPr>
          <w:rFonts w:ascii="Arial" w:cs="Arial" w:eastAsia="Arial" w:hAnsi="Arial"/>
          <w:color w:val="3d3d3a"/>
          <w:sz w:val="20"/>
          <w:szCs w:val="20"/>
        </w:rPr>
        <w:t xml:space="preserve">1.0 — 2026</w:t>
      </w:r>
    </w:p>
    <w:p>
      <w:pPr>
        <w:spacing w:before="50" w:after="50"/>
      </w:pPr>
      <w:r>
        <w:rPr>
          <w:rFonts w:ascii="Arial" w:cs="Arial" w:eastAsia="Arial" w:hAnsi="Arial"/>
          <w:b/>
          <w:bCs/>
          <w:color w:val="6b6b67"/>
          <w:sz w:val="20"/>
          <w:szCs w:val="20"/>
        </w:rPr>
        <w:t xml:space="preserve">Ondersteuning:  </w:t>
      </w:r>
      <w:r>
        <w:rPr>
          <w:rFonts w:ascii="Arial" w:cs="Arial" w:eastAsia="Arial" w:hAnsi="Arial"/>
          <w:color w:val="3d3d3a"/>
          <w:sz w:val="20"/>
          <w:szCs w:val="20"/>
        </w:rPr>
        <w:t xml:space="preserve">support@adviesfocus.nl</w:t>
      </w:r>
    </w:p>
    <w:p>
      <w:pPr>
        <w:spacing w:before="400" w:after="400"/>
      </w:pPr>
      <w:r>
        <w:t xml:space="preserve"/>
      </w:r>
    </w:p>
    <w:p>
      <w:pPr>
        <w:pageBreakBefore/>
      </w:pPr>
      <w:r>
        <w:t xml:space="preserve"/>
      </w:r>
    </w:p>
    <w:p>
      <w:pPr>
        <w:pStyle w:val="Heading1"/>
        <w:pBdr>
          <w:bottom w:val="single" w:color="1d9e75" w:sz="4" w:space="6"/>
        </w:pBdr>
        <w:spacing w:before="400" w:after="160"/>
      </w:pPr>
      <w:r>
        <w:rPr>
          <w:rFonts w:ascii="Arial" w:cs="Arial" w:eastAsia="Arial" w:hAnsi="Arial"/>
          <w:b/>
          <w:bCs/>
          <w:color w:val="0f0f0e"/>
          <w:sz w:val="32"/>
          <w:szCs w:val="32"/>
        </w:rPr>
        <w:t xml:space="preserve">1. Inleiding</w:t>
      </w:r>
    </w:p>
    <w:p>
      <w:pPr>
        <w:spacing w:before="60" w:after="80"/>
      </w:pPr>
      <w:r>
        <w:rPr>
          <w:rFonts w:ascii="Arial" w:cs="Arial" w:eastAsia="Arial" w:hAnsi="Arial"/>
          <w:b w:val="false"/>
          <w:bCs w:val="false"/>
          <w:i w:val="false"/>
          <w:iCs w:val="false"/>
          <w:color w:val="3d3d3a"/>
          <w:sz w:val="22"/>
          <w:szCs w:val="22"/>
        </w:rPr>
        <w:t xml:space="preserve">AdviesFocus is een geïntegreerd adviesplatform voor Nederlandse pensioenadviseurs. De tool begeleidt u van de eerste inventarisatie tot het definitieve adviesrapport en de nazorg daarna. Alle stappen zijn ontworpen conform de Wft art. 4:23-vereisten en de Wet toekomst pensioenen (Wtp).</w:t>
      </w:r>
    </w:p>
    <w:p>
      <w:pPr>
        <w:spacing w:before="80" w:after="80"/>
      </w:pPr>
      <w:r>
        <w:t xml:space="preserve"/>
      </w:r>
    </w:p>
    <w:p>
      <w:pPr>
        <w:pStyle w:val="Heading2"/>
        <w:spacing w:before="280" w:after="120"/>
      </w:pPr>
      <w:r>
        <w:rPr>
          <w:rFonts w:ascii="Arial" w:cs="Arial" w:eastAsia="Arial" w:hAnsi="Arial"/>
          <w:b/>
          <w:bCs/>
          <w:color w:val="1d9e75"/>
          <w:sz w:val="26"/>
          <w:szCs w:val="26"/>
        </w:rPr>
        <w:t xml:space="preserve">1.1 Drie flows in één platform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rPr>
          <w:tblHeader/>
        </w:trPr>
        <w:tc>
          <w:tcPr>
            <w:tcW w:type="dxa" w:w="2200"/>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Flow</w:t>
            </w:r>
          </w:p>
        </w:tc>
        <w:tc>
          <w:tcPr>
            <w:tcW w:type="dxa" w:w="4000"/>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Doel</w:t>
            </w:r>
          </w:p>
        </w:tc>
        <w:tc>
          <w:tcPr>
            <w:tcW w:type="dxa" w:w="2826"/>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Resultaat</w:t>
            </w:r>
          </w:p>
        </w:tc>
      </w:tr>
      <w:tr>
        <w:trPr>
          <w:tblHeader w:val="false"/>
        </w:trPr>
        <w:tc>
          <w:tcPr>
            <w:tcW w:type="dxa" w:w="2200"/>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1"/>
                <w:szCs w:val="21"/>
              </w:rPr>
              <w:t xml:space="preserve">Flow 1 — Adviestraject</w:t>
            </w:r>
          </w:p>
        </w:tc>
        <w:tc>
          <w:tcPr>
            <w:tcW w:type="dxa" w:w="4000"/>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Inventarisatie, analyse en adviesrapport</w:t>
            </w:r>
          </w:p>
        </w:tc>
        <w:tc>
          <w:tcPr>
            <w:tcW w:type="dxa" w:w="2826"/>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Word-adviesrapport + dossier</w:t>
            </w:r>
          </w:p>
        </w:tc>
      </w:tr>
      <w:tr>
        <w:trPr>
          <w:tblHeader w:val="false"/>
        </w:trPr>
        <w:tc>
          <w:tcPr>
            <w:tcW w:type="dxa" w:w="2200"/>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1"/>
                <w:szCs w:val="21"/>
              </w:rPr>
              <w:t xml:space="preserve">Flow 2 — Beheer &amp; Nazorg</w:t>
            </w:r>
          </w:p>
        </w:tc>
        <w:tc>
          <w:tcPr>
            <w:tcW w:type="dxa" w:w="4000"/>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Doorlopende monitoring, werknemersportaal</w:t>
            </w:r>
          </w:p>
        </w:tc>
        <w:tc>
          <w:tcPr>
            <w:tcW w:type="dxa" w:w="2826"/>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Alerts, instemming, scenario's</w:t>
            </w:r>
          </w:p>
        </w:tc>
      </w:tr>
      <w:tr>
        <w:trPr>
          <w:tblHeader w:val="false"/>
        </w:trPr>
        <w:tc>
          <w:tcPr>
            <w:tcW w:type="dxa" w:w="2200"/>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1"/>
                <w:szCs w:val="21"/>
              </w:rPr>
              <w:t xml:space="preserve">Flow 3 — Documentuitwisseling</w:t>
            </w:r>
          </w:p>
        </w:tc>
        <w:tc>
          <w:tcPr>
            <w:tcW w:type="dxa" w:w="4000"/>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Veilig uitwisselen met werkgever en werknemer</w:t>
            </w:r>
          </w:p>
        </w:tc>
        <w:tc>
          <w:tcPr>
            <w:tcW w:type="dxa" w:w="2826"/>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Beveiligde links, audit-trail</w:t>
            </w:r>
          </w:p>
        </w:tc>
      </w:tr>
    </w:tbl>
    <w:p>
      <w:pPr>
        <w:spacing w:before="80" w:after="80"/>
      </w:pPr>
      <w:r>
        <w:t xml:space="preserve"/>
      </w:r>
    </w:p>
    <w:p>
      <w:pPr>
        <w:pStyle w:val="Heading2"/>
        <w:spacing w:before="280" w:after="120"/>
      </w:pPr>
      <w:r>
        <w:rPr>
          <w:rFonts w:ascii="Arial" w:cs="Arial" w:eastAsia="Arial" w:hAnsi="Arial"/>
          <w:b/>
          <w:bCs/>
          <w:color w:val="1d9e75"/>
          <w:sz w:val="26"/>
          <w:szCs w:val="26"/>
        </w:rPr>
        <w:t xml:space="preserve">1.2 Wettelijke verankering</w:t>
      </w:r>
    </w:p>
    <w:p>
      <w:pPr>
        <w:spacing w:before="60" w:after="80"/>
      </w:pPr>
      <w:r>
        <w:rPr>
          <w:rFonts w:ascii="Arial" w:cs="Arial" w:eastAsia="Arial" w:hAnsi="Arial"/>
          <w:b w:val="false"/>
          <w:bCs w:val="false"/>
          <w:i w:val="false"/>
          <w:iCs w:val="false"/>
          <w:color w:val="3d3d3a"/>
          <w:sz w:val="22"/>
          <w:szCs w:val="22"/>
        </w:rPr>
        <w:t xml:space="preserve">Elke actie in AdviesFocus is gekoppeld aan een trace-ID dat in het dossier wordt opgeslagen. Dit vormt uw bewijslast bij een AFM-onderzoek. De volgende wetsartikelen zijn leidend:</w:t>
      </w:r>
    </w:p>
    <w:p>
      <w:pPr>
        <w:pStyle w:val="ListParagraph"/>
        <w:numPr>
          <w:ilvl w:val="0"/>
          <w:numId w:val="2"/>
        </w:numPr>
        <w:spacing w:before="40" w:after="40"/>
      </w:pPr>
      <w:r>
        <w:rPr>
          <w:rFonts w:ascii="Arial" w:cs="Arial" w:eastAsia="Arial" w:hAnsi="Arial"/>
          <w:b w:val="false"/>
          <w:bCs w:val="false"/>
          <w:color w:val="3d3d3a"/>
          <w:sz w:val="22"/>
          <w:szCs w:val="22"/>
        </w:rPr>
        <w:t xml:space="preserve">Wft art. 4:23 — zorgplicht adviseur, verplichting tot inventarisatie</w:t>
      </w:r>
    </w:p>
    <w:p>
      <w:pPr>
        <w:pStyle w:val="ListParagraph"/>
        <w:numPr>
          <w:ilvl w:val="0"/>
          <w:numId w:val="2"/>
        </w:numPr>
        <w:spacing w:before="40" w:after="40"/>
      </w:pPr>
      <w:r>
        <w:rPr>
          <w:rFonts w:ascii="Arial" w:cs="Arial" w:eastAsia="Arial" w:hAnsi="Arial"/>
          <w:b w:val="false"/>
          <w:bCs w:val="false"/>
          <w:color w:val="3d3d3a"/>
          <w:sz w:val="22"/>
          <w:szCs w:val="22"/>
        </w:rPr>
        <w:t xml:space="preserve">Pensioenwet art. 48a — informatieplicht bij pensioenwijziging</w:t>
      </w:r>
    </w:p>
    <w:p>
      <w:pPr>
        <w:pStyle w:val="ListParagraph"/>
        <w:numPr>
          <w:ilvl w:val="0"/>
          <w:numId w:val="2"/>
        </w:numPr>
        <w:spacing w:before="40" w:after="40"/>
      </w:pPr>
      <w:r>
        <w:rPr>
          <w:rFonts w:ascii="Arial" w:cs="Arial" w:eastAsia="Arial" w:hAnsi="Arial"/>
          <w:b w:val="false"/>
          <w:bCs w:val="false"/>
          <w:color w:val="3d3d3a"/>
          <w:sz w:val="22"/>
          <w:szCs w:val="22"/>
        </w:rPr>
        <w:t xml:space="preserve">Bgfo art. 80a — documentatievereisten productvergelijking</w:t>
      </w:r>
    </w:p>
    <w:p>
      <w:pPr>
        <w:pStyle w:val="ListParagraph"/>
        <w:numPr>
          <w:ilvl w:val="0"/>
          <w:numId w:val="2"/>
        </w:numPr>
        <w:spacing w:before="40" w:after="40"/>
      </w:pPr>
      <w:r>
        <w:rPr>
          <w:rFonts w:ascii="Arial" w:cs="Arial" w:eastAsia="Arial" w:hAnsi="Arial"/>
          <w:b w:val="false"/>
          <w:bCs w:val="false"/>
          <w:color w:val="3d3d3a"/>
          <w:sz w:val="22"/>
          <w:szCs w:val="22"/>
        </w:rPr>
        <w:t xml:space="preserve">Wtp art. 10 — verbod op leeftijdsafhankelijke staffels na transitiedeadline</w:t>
      </w:r>
    </w:p>
    <w:p>
      <w:pPr>
        <w:pStyle w:val="ListParagraph"/>
        <w:numPr>
          <w:ilvl w:val="0"/>
          <w:numId w:val="2"/>
        </w:numPr>
        <w:spacing w:before="40" w:after="40"/>
      </w:pPr>
      <w:r>
        <w:rPr>
          <w:rFonts w:ascii="Arial" w:cs="Arial" w:eastAsia="Arial" w:hAnsi="Arial"/>
          <w:b w:val="false"/>
          <w:bCs w:val="false"/>
          <w:color w:val="3d3d3a"/>
          <w:sz w:val="22"/>
          <w:szCs w:val="22"/>
        </w:rPr>
        <w:t xml:space="preserve">WOR art. 27 — OR-instemmingsrecht bij pensioenwijziging</w:t>
      </w:r>
    </w:p>
    <w:p>
      <w:pPr>
        <w:pageBreakBefore/>
      </w:pPr>
      <w:r>
        <w:t xml:space="preserve"/>
      </w:r>
    </w:p>
    <w:p>
      <w:pPr>
        <w:pStyle w:val="Heading1"/>
        <w:pBdr>
          <w:bottom w:val="single" w:color="1d9e75" w:sz="4" w:space="6"/>
        </w:pBdr>
        <w:spacing w:before="400" w:after="160"/>
      </w:pPr>
      <w:r>
        <w:rPr>
          <w:rFonts w:ascii="Arial" w:cs="Arial" w:eastAsia="Arial" w:hAnsi="Arial"/>
          <w:b/>
          <w:bCs/>
          <w:color w:val="0f0f0e"/>
          <w:sz w:val="32"/>
          <w:szCs w:val="32"/>
        </w:rPr>
        <w:t xml:space="preserve">2. Flow 1: Het Adviestraject</w:t>
      </w:r>
    </w:p>
    <w:p>
      <w:pPr>
        <w:spacing w:before="60" w:after="80"/>
      </w:pPr>
      <w:r>
        <w:rPr>
          <w:rFonts w:ascii="Arial" w:cs="Arial" w:eastAsia="Arial" w:hAnsi="Arial"/>
          <w:b w:val="false"/>
          <w:bCs w:val="false"/>
          <w:i w:val="false"/>
          <w:iCs w:val="false"/>
          <w:color w:val="3d3d3a"/>
          <w:sz w:val="22"/>
          <w:szCs w:val="22"/>
        </w:rPr>
        <w:t xml:space="preserve">Het adviestraject is de kern van het platform. U doorloopt vier inventarisatiemodules en drie analysemodules, waarna het systeem automatisch een Word-adviesrapport genereert.</w:t>
      </w:r>
    </w:p>
    <w:p>
      <w:pPr>
        <w:spacing w:before="80" w:after="80"/>
      </w:pPr>
      <w:r>
        <w:t xml:space="preserve"/>
      </w:r>
    </w:p>
    <w:p>
      <w:pPr>
        <w:pStyle w:val="Heading2"/>
        <w:spacing w:before="280" w:after="120"/>
      </w:pPr>
      <w:r>
        <w:rPr>
          <w:rFonts w:ascii="Arial" w:cs="Arial" w:eastAsia="Arial" w:hAnsi="Arial"/>
          <w:b/>
          <w:bCs/>
          <w:color w:val="1d9e75"/>
          <w:sz w:val="26"/>
          <w:szCs w:val="26"/>
        </w:rPr>
        <w:t xml:space="preserve">2.1 Inventarisatie-wizard</w:t>
      </w:r>
    </w:p>
    <w:p>
      <w:pPr>
        <w:spacing w:before="60" w:after="80"/>
      </w:pPr>
      <w:r>
        <w:rPr>
          <w:rFonts w:ascii="Arial" w:cs="Arial" w:eastAsia="Arial" w:hAnsi="Arial"/>
          <w:b w:val="false"/>
          <w:bCs w:val="false"/>
          <w:i w:val="false"/>
          <w:iCs w:val="false"/>
          <w:color w:val="3d3d3a"/>
          <w:sz w:val="22"/>
          <w:szCs w:val="22"/>
        </w:rPr>
        <w:t xml:space="preserve">De inventarisatie-wizard verzamelt het Wft-klantprofiel in vier stappen. Zonder volledig klantprofiel kan geen geldig advies worden gegeven.</w:t>
      </w:r>
    </w:p>
    <w:p>
      <w:pPr>
        <w:spacing w:before="80" w:after="80"/>
      </w:pPr>
      <w:r>
        <w:t xml:space="preserve"/>
      </w:r>
    </w:p>
    <w:p>
      <w:pPr>
        <w:spacing w:before="200" w:after="80"/>
      </w:pPr>
      <w:r>
        <w:rPr>
          <w:rFonts w:ascii="Arial" w:cs="Arial" w:eastAsia="Arial" w:hAnsi="Arial"/>
          <w:b/>
          <w:bCs/>
          <w:color w:val="0f0f0e"/>
          <w:sz w:val="22"/>
          <w:szCs w:val="22"/>
        </w:rPr>
        <w:t xml:space="preserve">Module A — Financiële positie</w:t>
      </w:r>
    </w:p>
    <w:p>
      <w:pPr>
        <w:spacing w:before="60" w:after="80"/>
      </w:pPr>
      <w:r>
        <w:rPr>
          <w:rFonts w:ascii="Arial" w:cs="Arial" w:eastAsia="Arial" w:hAnsi="Arial"/>
          <w:b w:val="false"/>
          <w:bCs w:val="false"/>
          <w:i w:val="false"/>
          <w:iCs w:val="false"/>
          <w:color w:val="3d3d3a"/>
          <w:sz w:val="22"/>
          <w:szCs w:val="22"/>
        </w:rPr>
        <w:t xml:space="preserve">Vul in: omzet laatste 3 jaar, bedrijfsresultaat, huidig pensioenbudget, verwacht budget komende 5 jaar. Het systeem berekent automatisch de pensioenlast als percentage van de loonsom.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4f0b" w:sz="6"/>
              <w:left w:val="none"/>
              <w:bottom w:val="none"/>
              <w:right w:val="none"/>
            </w:tcBorders>
            <w:shd w:fill="faeeda" w:val="clear"/>
            <w:tcMar>
              <w:top w:type="dxa" w:w="120"/>
              <w:left w:type="dxa" w:w="220"/>
              <w:bottom w:type="dxa" w:w="120"/>
              <w:right w:type="dxa" w:w="220"/>
            </w:tcMar>
          </w:tcPr>
          <w:p>
            <w:pPr>
              <w:spacing w:before="0" w:after="60"/>
            </w:pPr>
            <w:r>
              <w:rPr>
                <w:rFonts w:ascii="Arial" w:cs="Arial" w:eastAsia="Arial" w:hAnsi="Arial"/>
                <w:b/>
                <w:bCs/>
                <w:color w:val="854f0b"/>
                <w:sz w:val="22"/>
                <w:szCs w:val="22"/>
              </w:rPr>
              <w:t xml:space="preserve">Signaleringsgrens</w:t>
            </w:r>
          </w:p>
          <w:p>
            <w:pPr>
              <w:spacing w:before="0" w:after="0"/>
            </w:pPr>
            <w:r>
              <w:rPr>
                <w:rFonts w:ascii="Arial" w:cs="Arial" w:eastAsia="Arial" w:hAnsi="Arial"/>
                <w:color w:val="854f0b"/>
                <w:sz w:val="20"/>
                <w:szCs w:val="20"/>
              </w:rPr>
              <w:t xml:space="preserve">Pensioenlast &gt; 15% van de loonsom is een aandachtspunt dat automatisch in het adviesrapport wordt opgenomen.</w:t>
            </w:r>
          </w:p>
        </w:tc>
      </w:tr>
    </w:tbl>
    <w:p>
      <w:pPr>
        <w:spacing w:before="80" w:after="80"/>
      </w:pPr>
      <w:r>
        <w:t xml:space="preserve"/>
      </w:r>
    </w:p>
    <w:p>
      <w:pPr>
        <w:spacing w:before="200" w:after="80"/>
      </w:pPr>
      <w:r>
        <w:rPr>
          <w:rFonts w:ascii="Arial" w:cs="Arial" w:eastAsia="Arial" w:hAnsi="Arial"/>
          <w:b/>
          <w:bCs/>
          <w:color w:val="0f0f0e"/>
          <w:sz w:val="22"/>
          <w:szCs w:val="22"/>
        </w:rPr>
        <w:t xml:space="preserve">Module B — Kennis en ervaring</w:t>
      </w:r>
    </w:p>
    <w:p>
      <w:pPr>
        <w:spacing w:before="60" w:after="80"/>
      </w:pPr>
      <w:r>
        <w:rPr>
          <w:rFonts w:ascii="Arial" w:cs="Arial" w:eastAsia="Arial" w:hAnsi="Arial"/>
          <w:b w:val="false"/>
          <w:bCs w:val="false"/>
          <w:i w:val="false"/>
          <w:iCs w:val="false"/>
          <w:color w:val="3d3d3a"/>
          <w:sz w:val="22"/>
          <w:szCs w:val="22"/>
        </w:rPr>
        <w:t xml:space="preserve">De vragenlijst (6 vragen) bepaalt het kennisniveau van de werkgever: Basis, Gemiddeld of Ervaren. Dit niveau stuurt de diepgang van de toelichting in het adviesrapport. Sla dit niveau op in het dossier — de AFM kan hier naar vragen.</w:t>
      </w:r>
    </w:p>
    <w:p>
      <w:pPr>
        <w:spacing w:before="80" w:after="80"/>
      </w:pPr>
      <w:r>
        <w:t xml:space="preserve"/>
      </w:r>
    </w:p>
    <w:p>
      <w:pPr>
        <w:spacing w:before="200" w:after="80"/>
      </w:pPr>
      <w:r>
        <w:rPr>
          <w:rFonts w:ascii="Arial" w:cs="Arial" w:eastAsia="Arial" w:hAnsi="Arial"/>
          <w:b/>
          <w:bCs/>
          <w:color w:val="0f0f0e"/>
          <w:sz w:val="22"/>
          <w:szCs w:val="22"/>
        </w:rPr>
        <w:t xml:space="preserve">Module C — Doelstellingen en risicobereidheid</w:t>
      </w:r>
    </w:p>
    <w:p>
      <w:pPr>
        <w:spacing w:before="60" w:after="80"/>
      </w:pPr>
      <w:r>
        <w:rPr>
          <w:rFonts w:ascii="Arial" w:cs="Arial" w:eastAsia="Arial" w:hAnsi="Arial"/>
          <w:b w:val="false"/>
          <w:bCs w:val="false"/>
          <w:i w:val="false"/>
          <w:iCs w:val="false"/>
          <w:color w:val="3d3d3a"/>
          <w:sz w:val="22"/>
          <w:szCs w:val="22"/>
        </w:rPr>
        <w:t xml:space="preserve">Stel de vlakke premie in via de slider (10–30%), registreer de wens voor nabestaandenpensioen, ANW-hiaat en compensatiebereidheid. De risicobereidheid (defensief/neutraal/offensief) wordt doorgestuurd naar de lifecycle-mapping in module 2.3.</w:t>
      </w:r>
    </w:p>
    <w:p>
      <w:pPr>
        <w:spacing w:before="80" w:after="80"/>
      </w:pPr>
      <w:r>
        <w:t xml:space="preserve"/>
      </w:r>
    </w:p>
    <w:p>
      <w:pPr>
        <w:spacing w:before="200" w:after="80"/>
      </w:pPr>
      <w:r>
        <w:rPr>
          <w:rFonts w:ascii="Arial" w:cs="Arial" w:eastAsia="Arial" w:hAnsi="Arial"/>
          <w:b/>
          <w:bCs/>
          <w:color w:val="0f0f0e"/>
          <w:sz w:val="22"/>
          <w:szCs w:val="22"/>
        </w:rPr>
        <w:t xml:space="preserve">Module D — Kader en verplichtingen</w:t>
      </w:r>
    </w:p>
    <w:p>
      <w:pPr>
        <w:spacing w:before="60" w:after="80"/>
      </w:pPr>
      <w:r>
        <w:rPr>
          <w:rFonts w:ascii="Arial" w:cs="Arial" w:eastAsia="Arial" w:hAnsi="Arial"/>
          <w:b w:val="false"/>
          <w:bCs w:val="false"/>
          <w:i w:val="false"/>
          <w:iCs w:val="false"/>
          <w:color w:val="3d3d3a"/>
          <w:sz w:val="22"/>
          <w:szCs w:val="22"/>
        </w:rPr>
        <w:t xml:space="preserve">Selecteer de CAO via de zoekbalk (1.589 entries uit de SZW-codelijst). Gebruik de tweestaps BPF-selector om verplichte bedrijfstakpensioenfondsen te identificeren. Let op: bij een verplicht BPF (PMT, BPF Bouw, PFZW, e.a.) blokkeert het systeem de adviesprocedure automatisch.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a32d2d" w:sz="6"/>
              <w:left w:val="none"/>
              <w:bottom w:val="none"/>
              <w:right w:val="none"/>
            </w:tcBorders>
            <w:shd w:fill="fcebeb" w:val="clear"/>
            <w:tcMar>
              <w:top w:type="dxa" w:w="120"/>
              <w:left w:type="dxa" w:w="220"/>
              <w:bottom w:type="dxa" w:w="120"/>
              <w:right w:type="dxa" w:w="220"/>
            </w:tcMar>
          </w:tcPr>
          <w:p>
            <w:pPr>
              <w:spacing w:before="0" w:after="60"/>
            </w:pPr>
            <w:r>
              <w:rPr>
                <w:rFonts w:ascii="Arial" w:cs="Arial" w:eastAsia="Arial" w:hAnsi="Arial"/>
                <w:b/>
                <w:bCs/>
                <w:color w:val="a32d2d"/>
                <w:sz w:val="22"/>
                <w:szCs w:val="22"/>
              </w:rPr>
              <w:t xml:space="preserve">BPF-blokkering</w:t>
            </w:r>
          </w:p>
          <w:p>
            <w:pPr>
              <w:spacing w:before="0" w:after="0"/>
            </w:pPr>
            <w:r>
              <w:rPr>
                <w:rFonts w:ascii="Arial" w:cs="Arial" w:eastAsia="Arial" w:hAnsi="Arial"/>
                <w:color w:val="a32d2d"/>
                <w:sz w:val="20"/>
                <w:szCs w:val="20"/>
              </w:rPr>
              <w:t xml:space="preserve">Als een BPF-verplichting wordt vastgesteld, kan geen individueel pensioenadvies worden gegeven. Verwijs de werkgever naar het betreffende BPF.</w:t>
            </w:r>
          </w:p>
        </w:tc>
      </w:tr>
    </w:tbl>
    <w:p>
      <w:pPr>
        <w:spacing w:before="80" w:after="80"/>
      </w:pPr>
      <w:r>
        <w:t xml:space="preserve"/>
      </w:r>
    </w:p>
    <w:p>
      <w:pPr>
        <w:pStyle w:val="Heading2"/>
        <w:spacing w:before="280" w:after="120"/>
      </w:pPr>
      <w:r>
        <w:rPr>
          <w:rFonts w:ascii="Arial" w:cs="Arial" w:eastAsia="Arial" w:hAnsi="Arial"/>
          <w:b/>
          <w:bCs/>
          <w:color w:val="1d9e75"/>
          <w:sz w:val="26"/>
          <w:szCs w:val="26"/>
        </w:rPr>
        <w:t xml:space="preserve">2.2 Analyse (drie tabs)</w:t>
      </w:r>
    </w:p>
    <w:p>
      <w:pPr>
        <w:spacing w:before="80" w:after="80"/>
      </w:pPr>
      <w:r>
        <w:t xml:space="preserve"/>
      </w:r>
    </w:p>
    <w:p>
      <w:pPr>
        <w:spacing w:before="200" w:after="80"/>
      </w:pPr>
      <w:r>
        <w:rPr>
          <w:rFonts w:ascii="Arial" w:cs="Arial" w:eastAsia="Arial" w:hAnsi="Arial"/>
          <w:b/>
          <w:bCs/>
          <w:color w:val="0f0f0e"/>
          <w:sz w:val="22"/>
          <w:szCs w:val="22"/>
        </w:rPr>
        <w:t xml:space="preserve">Tab 2.1 — WTP-Transitie &amp; Compensatie</w:t>
      </w:r>
    </w:p>
    <w:p>
      <w:pPr>
        <w:spacing w:before="60" w:after="80"/>
      </w:pPr>
      <w:r>
        <w:rPr>
          <w:rFonts w:ascii="Arial" w:cs="Arial" w:eastAsia="Arial" w:hAnsi="Arial"/>
          <w:b w:val="false"/>
          <w:bCs w:val="false"/>
          <w:i w:val="false"/>
          <w:iCs w:val="false"/>
          <w:color w:val="3d3d3a"/>
          <w:sz w:val="22"/>
          <w:szCs w:val="22"/>
        </w:rPr>
        <w:t xml:space="preserve">Importeer het werknemersbestand via CSV (compatibel met Exact, AFAS, Nmbrs). Het systeem berekent per werknemer het verschil tussen de oude staffelpremie en de nieuwe vlakke premie, en de bijbehorende compensatielast. Kies het scenario (invaren of eerbiedigende werking) en pas de compensatiefactor aan via de live slider.</w:t>
      </w:r>
    </w:p>
    <w:p>
      <w:pPr>
        <w:spacing w:before="60" w:after="80"/>
      </w:pPr>
      <w:r>
        <w:rPr>
          <w:rFonts w:ascii="Arial" w:cs="Arial" w:eastAsia="Arial" w:hAnsi="Arial"/>
          <w:b w:val="false"/>
          <w:bCs w:val="false"/>
          <w:i w:val="false"/>
          <w:iCs w:val="false"/>
          <w:color w:val="3d3d3a"/>
          <w:sz w:val="22"/>
          <w:szCs w:val="22"/>
        </w:rPr>
        <w:t xml:space="preserve">Exporteer het cohortoverzicht voor gebruik in het adviesrapport.</w:t>
      </w:r>
    </w:p>
    <w:p>
      <w:pPr>
        <w:spacing w:before="80" w:after="80"/>
      </w:pPr>
      <w:r>
        <w:t xml:space="preserve"/>
      </w:r>
    </w:p>
    <w:p>
      <w:pPr>
        <w:spacing w:before="200" w:after="80"/>
      </w:pPr>
      <w:r>
        <w:rPr>
          <w:rFonts w:ascii="Arial" w:cs="Arial" w:eastAsia="Arial" w:hAnsi="Arial"/>
          <w:b/>
          <w:bCs/>
          <w:color w:val="0f0f0e"/>
          <w:sz w:val="22"/>
          <w:szCs w:val="22"/>
        </w:rPr>
        <w:t xml:space="preserve">Tab 2.2 — Productvergelijking</w:t>
      </w:r>
    </w:p>
    <w:p>
      <w:pPr>
        <w:spacing w:before="60" w:after="80"/>
      </w:pPr>
      <w:r>
        <w:rPr>
          <w:rFonts w:ascii="Arial" w:cs="Arial" w:eastAsia="Arial" w:hAnsi="Arial"/>
          <w:b w:val="false"/>
          <w:bCs w:val="false"/>
          <w:i w:val="false"/>
          <w:iCs w:val="false"/>
          <w:color w:val="3d3d3a"/>
          <w:sz w:val="22"/>
          <w:szCs w:val="22"/>
        </w:rPr>
        <w:t xml:space="preserve">Voer offertes in van minimaal 3 aanbieders (AFM-eis). Vul per aanbieder in: vlakke premie%, uitvoeringskosten%, lifecycle, nabestaandenpensioen, keuzebegeleiding en URM-beschikbaarheid. Selecteer het scoremodel dat past bij het werkgeversprofiel:</w:t>
      </w:r>
    </w:p>
    <w:p>
      <w:pPr>
        <w:pStyle w:val="ListParagraph"/>
        <w:numPr>
          <w:ilvl w:val="0"/>
          <w:numId w:val="2"/>
        </w:numPr>
        <w:spacing w:before="40" w:after="40"/>
      </w:pPr>
      <w:r>
        <w:rPr>
          <w:rFonts w:ascii="Arial" w:cs="Arial" w:eastAsia="Arial" w:hAnsi="Arial"/>
          <w:b w:val="false"/>
          <w:bCs w:val="false"/>
          <w:color w:val="3d3d3a"/>
          <w:sz w:val="22"/>
          <w:szCs w:val="22"/>
        </w:rPr>
        <w:t xml:space="preserve">Goedkoopst: premie (40%) + kosten (30%) zwaarst gewogen</w:t>
      </w:r>
    </w:p>
    <w:p>
      <w:pPr>
        <w:pStyle w:val="ListParagraph"/>
        <w:numPr>
          <w:ilvl w:val="0"/>
          <w:numId w:val="2"/>
        </w:numPr>
        <w:spacing w:before="40" w:after="40"/>
      </w:pPr>
      <w:r>
        <w:rPr>
          <w:rFonts w:ascii="Arial" w:cs="Arial" w:eastAsia="Arial" w:hAnsi="Arial"/>
          <w:b w:val="false"/>
          <w:bCs w:val="false"/>
          <w:color w:val="3d3d3a"/>
          <w:sz w:val="22"/>
          <w:szCs w:val="22"/>
        </w:rPr>
        <w:t xml:space="preserve">Beste dekking: nabestaanden (35%) + keuzebegeleiding (25%) zwaarst gewogen</w:t>
      </w:r>
    </w:p>
    <w:p>
      <w:pPr>
        <w:pStyle w:val="ListParagraph"/>
        <w:numPr>
          <w:ilvl w:val="0"/>
          <w:numId w:val="2"/>
        </w:numPr>
        <w:spacing w:before="40" w:after="40"/>
      </w:pPr>
      <w:r>
        <w:rPr>
          <w:rFonts w:ascii="Arial" w:cs="Arial" w:eastAsia="Arial" w:hAnsi="Arial"/>
          <w:b w:val="false"/>
          <w:bCs w:val="false"/>
          <w:color w:val="3d3d3a"/>
          <w:sz w:val="22"/>
          <w:szCs w:val="22"/>
        </w:rPr>
        <w:t xml:space="preserve">Meeste keuze: keuzebegeleiding (35%) + lifecycle (25%) zwaarst gewogen</w:t>
      </w:r>
    </w:p>
    <w:p>
      <w:pPr>
        <w:spacing w:before="60" w:after="80"/>
      </w:pPr>
      <w:r>
        <w:rPr>
          <w:rFonts w:ascii="Arial" w:cs="Arial" w:eastAsia="Arial" w:hAnsi="Arial"/>
          <w:b w:val="false"/>
          <w:bCs w:val="false"/>
          <w:i w:val="false"/>
          <w:iCs w:val="false"/>
          <w:color w:val="3d3d3a"/>
          <w:sz w:val="22"/>
          <w:szCs w:val="22"/>
        </w:rPr>
        <w:t xml:space="preserve">Het systeem toont automatisch de winnaar met onderbouwing en genereert de vergelijkingstabel voor het rapport.</w:t>
      </w:r>
    </w:p>
    <w:p>
      <w:pPr>
        <w:spacing w:before="80" w:after="80"/>
      </w:pPr>
      <w:r>
        <w:t xml:space="preserve"/>
      </w:r>
    </w:p>
    <w:p>
      <w:pPr>
        <w:spacing w:before="200" w:after="80"/>
      </w:pPr>
      <w:r>
        <w:rPr>
          <w:rFonts w:ascii="Arial" w:cs="Arial" w:eastAsia="Arial" w:hAnsi="Arial"/>
          <w:b/>
          <w:bCs/>
          <w:color w:val="0f0f0e"/>
          <w:sz w:val="22"/>
          <w:szCs w:val="22"/>
        </w:rPr>
        <w:t xml:space="preserve">Tab 2.3 — Beleggingsbeleid &amp; Lifecycles</w:t>
      </w:r>
    </w:p>
    <w:p>
      <w:pPr>
        <w:spacing w:before="60" w:after="80"/>
      </w:pPr>
      <w:r>
        <w:rPr>
          <w:rFonts w:ascii="Arial" w:cs="Arial" w:eastAsia="Arial" w:hAnsi="Arial"/>
          <w:b w:val="false"/>
          <w:bCs w:val="false"/>
          <w:i w:val="false"/>
          <w:iCs w:val="false"/>
          <w:color w:val="3d3d3a"/>
          <w:sz w:val="22"/>
          <w:szCs w:val="22"/>
        </w:rPr>
        <w:t xml:space="preserve">De lifecycle-vergelijking toont de zakelijke waarden% per leeftijd voor alle geselecteerde aanbieders. De URM-projecties zijn gebaseerd op de actuele DNB P-scenarioset (kwartaallijks bijgewerkt). Het systeem toont P5/P50/P95 percentielwaarden gestapeld met de AOW-indicatie.</w:t>
      </w:r>
    </w:p>
    <w:p>
      <w:pPr>
        <w:spacing w:before="60" w:after="80"/>
      </w:pPr>
      <w:r>
        <w:rPr>
          <w:rFonts w:ascii="Arial" w:cs="Arial" w:eastAsia="Arial" w:hAnsi="Arial"/>
          <w:b w:val="false"/>
          <w:bCs w:val="false"/>
          <w:i w:val="false"/>
          <w:iCs w:val="false"/>
          <w:color w:val="3d3d3a"/>
          <w:sz w:val="22"/>
          <w:szCs w:val="22"/>
        </w:rPr>
        <w:t xml:space="preserve">De repareer-slider verschijnt automatisch wanneer het pessimistische scenario onder de doelstelling uitkomt.</w:t>
      </w:r>
    </w:p>
    <w:p>
      <w:pPr>
        <w:spacing w:before="80" w:after="80"/>
      </w:pPr>
      <w:r>
        <w:t xml:space="preserve"/>
      </w:r>
    </w:p>
    <w:p>
      <w:pPr>
        <w:pStyle w:val="Heading2"/>
        <w:spacing w:before="280" w:after="120"/>
      </w:pPr>
      <w:r>
        <w:rPr>
          <w:rFonts w:ascii="Arial" w:cs="Arial" w:eastAsia="Arial" w:hAnsi="Arial"/>
          <w:b/>
          <w:bCs/>
          <w:color w:val="1d9e75"/>
          <w:sz w:val="26"/>
          <w:szCs w:val="26"/>
        </w:rPr>
        <w:t xml:space="preserve">2.3 Adviesrapport genereren</w:t>
      </w:r>
    </w:p>
    <w:p>
      <w:pPr>
        <w:spacing w:before="60" w:after="80"/>
      </w:pPr>
      <w:r>
        <w:rPr>
          <w:rFonts w:ascii="Arial" w:cs="Arial" w:eastAsia="Arial" w:hAnsi="Arial"/>
          <w:b w:val="false"/>
          <w:bCs w:val="false"/>
          <w:i w:val="false"/>
          <w:iCs w:val="false"/>
          <w:color w:val="3d3d3a"/>
          <w:sz w:val="22"/>
          <w:szCs w:val="22"/>
        </w:rPr>
        <w:t xml:space="preserve">Klik op "Naar adviesrapport" na het voltooien van alle analysetabs. Het systeem genereert automatisch een Word-document van 12 hoofdstukken inclusief uw kantoorhuisstijl, logo en contactgegevens. Het rapport bevat:</w:t>
      </w:r>
    </w:p>
    <w:p>
      <w:pPr>
        <w:pStyle w:val="ListParagraph"/>
        <w:numPr>
          <w:ilvl w:val="0"/>
          <w:numId w:val="2"/>
        </w:numPr>
        <w:spacing w:before="40" w:after="40"/>
      </w:pPr>
      <w:r>
        <w:rPr>
          <w:rFonts w:ascii="Arial" w:cs="Arial" w:eastAsia="Arial" w:hAnsi="Arial"/>
          <w:b w:val="false"/>
          <w:bCs w:val="false"/>
          <w:color w:val="3d3d3a"/>
          <w:sz w:val="22"/>
          <w:szCs w:val="22"/>
        </w:rPr>
        <w:t xml:space="preserve">Voorblad met trace-ID</w:t>
      </w:r>
    </w:p>
    <w:p>
      <w:pPr>
        <w:pStyle w:val="ListParagraph"/>
        <w:numPr>
          <w:ilvl w:val="0"/>
          <w:numId w:val="2"/>
        </w:numPr>
        <w:spacing w:before="40" w:after="40"/>
      </w:pPr>
      <w:r>
        <w:rPr>
          <w:rFonts w:ascii="Arial" w:cs="Arial" w:eastAsia="Arial" w:hAnsi="Arial"/>
          <w:b w:val="false"/>
          <w:bCs w:val="false"/>
          <w:color w:val="3d3d3a"/>
          <w:sz w:val="22"/>
          <w:szCs w:val="22"/>
        </w:rPr>
        <w:t xml:space="preserve">Managementsamenvatting (deterministisch, op basis van analysedata)</w:t>
      </w:r>
    </w:p>
    <w:p>
      <w:pPr>
        <w:pStyle w:val="ListParagraph"/>
        <w:numPr>
          <w:ilvl w:val="0"/>
          <w:numId w:val="2"/>
        </w:numPr>
        <w:spacing w:before="40" w:after="40"/>
      </w:pPr>
      <w:r>
        <w:rPr>
          <w:rFonts w:ascii="Arial" w:cs="Arial" w:eastAsia="Arial" w:hAnsi="Arial"/>
          <w:b w:val="false"/>
          <w:bCs w:val="false"/>
          <w:color w:val="3d3d3a"/>
          <w:sz w:val="22"/>
          <w:szCs w:val="22"/>
        </w:rPr>
        <w:t xml:space="preserve">Klantprofiel conform Wft art. 4:23</w:t>
      </w:r>
    </w:p>
    <w:p>
      <w:pPr>
        <w:pStyle w:val="ListParagraph"/>
        <w:numPr>
          <w:ilvl w:val="0"/>
          <w:numId w:val="2"/>
        </w:numPr>
        <w:spacing w:before="40" w:after="40"/>
      </w:pPr>
      <w:r>
        <w:rPr>
          <w:rFonts w:ascii="Arial" w:cs="Arial" w:eastAsia="Arial" w:hAnsi="Arial"/>
          <w:b w:val="false"/>
          <w:bCs w:val="false"/>
          <w:color w:val="3d3d3a"/>
          <w:sz w:val="22"/>
          <w:szCs w:val="22"/>
        </w:rPr>
        <w:t xml:space="preserve">WTP-analyse met compensatieoverzicht per cohort</w:t>
      </w:r>
    </w:p>
    <w:p>
      <w:pPr>
        <w:pStyle w:val="ListParagraph"/>
        <w:numPr>
          <w:ilvl w:val="0"/>
          <w:numId w:val="2"/>
        </w:numPr>
        <w:spacing w:before="40" w:after="40"/>
      </w:pPr>
      <w:r>
        <w:rPr>
          <w:rFonts w:ascii="Arial" w:cs="Arial" w:eastAsia="Arial" w:hAnsi="Arial"/>
          <w:b w:val="false"/>
          <w:bCs w:val="false"/>
          <w:color w:val="3d3d3a"/>
          <w:sz w:val="22"/>
          <w:szCs w:val="22"/>
        </w:rPr>
        <w:t xml:space="preserve">Productvergelijking met scoremodel en onderbouwing</w:t>
      </w:r>
    </w:p>
    <w:p>
      <w:pPr>
        <w:pStyle w:val="ListParagraph"/>
        <w:numPr>
          <w:ilvl w:val="0"/>
          <w:numId w:val="2"/>
        </w:numPr>
        <w:spacing w:before="40" w:after="40"/>
      </w:pPr>
      <w:r>
        <w:rPr>
          <w:rFonts w:ascii="Arial" w:cs="Arial" w:eastAsia="Arial" w:hAnsi="Arial"/>
          <w:b w:val="false"/>
          <w:bCs w:val="false"/>
          <w:color w:val="3d3d3a"/>
          <w:sz w:val="22"/>
          <w:szCs w:val="22"/>
        </w:rPr>
        <w:t xml:space="preserve">Aanbeveling met onderbouwing (vereiste Bgfo art. 80a)</w:t>
      </w:r>
    </w:p>
    <w:p>
      <w:pPr>
        <w:pStyle w:val="ListParagraph"/>
        <w:numPr>
          <w:ilvl w:val="0"/>
          <w:numId w:val="2"/>
        </w:numPr>
        <w:spacing w:before="40" w:after="40"/>
      </w:pPr>
      <w:r>
        <w:rPr>
          <w:rFonts w:ascii="Arial" w:cs="Arial" w:eastAsia="Arial" w:hAnsi="Arial"/>
          <w:b w:val="false"/>
          <w:bCs w:val="false"/>
          <w:color w:val="3d3d3a"/>
          <w:sz w:val="22"/>
          <w:szCs w:val="22"/>
        </w:rPr>
        <w:t xml:space="preserve">Afgewezen alternatieven met afwijzingsreden (vereiste AFM)</w:t>
      </w:r>
    </w:p>
    <w:p>
      <w:pPr>
        <w:pStyle w:val="ListParagraph"/>
        <w:numPr>
          <w:ilvl w:val="0"/>
          <w:numId w:val="2"/>
        </w:numPr>
        <w:spacing w:before="40" w:after="40"/>
      </w:pPr>
      <w:r>
        <w:rPr>
          <w:rFonts w:ascii="Arial" w:cs="Arial" w:eastAsia="Arial" w:hAnsi="Arial"/>
          <w:b w:val="false"/>
          <w:bCs w:val="false"/>
          <w:color w:val="3d3d3a"/>
          <w:sz w:val="22"/>
          <w:szCs w:val="22"/>
        </w:rPr>
        <w:t xml:space="preserve">Beleggingsbeleid en lifecycle-mapping</w:t>
      </w:r>
    </w:p>
    <w:p>
      <w:pPr>
        <w:pStyle w:val="ListParagraph"/>
        <w:numPr>
          <w:ilvl w:val="0"/>
          <w:numId w:val="2"/>
        </w:numPr>
        <w:spacing w:before="40" w:after="40"/>
      </w:pPr>
      <w:r>
        <w:rPr>
          <w:rFonts w:ascii="Arial" w:cs="Arial" w:eastAsia="Arial" w:hAnsi="Arial"/>
          <w:b w:val="false"/>
          <w:bCs w:val="false"/>
          <w:color w:val="3d3d3a"/>
          <w:sz w:val="22"/>
          <w:szCs w:val="22"/>
        </w:rPr>
        <w:t xml:space="preserve">Financiële impact voor werkgever</w:t>
      </w:r>
    </w:p>
    <w:p>
      <w:pPr>
        <w:pStyle w:val="ListParagraph"/>
        <w:numPr>
          <w:ilvl w:val="0"/>
          <w:numId w:val="2"/>
        </w:numPr>
        <w:spacing w:before="40" w:after="40"/>
      </w:pPr>
      <w:r>
        <w:rPr>
          <w:rFonts w:ascii="Arial" w:cs="Arial" w:eastAsia="Arial" w:hAnsi="Arial"/>
          <w:b w:val="false"/>
          <w:bCs w:val="false"/>
          <w:color w:val="3d3d3a"/>
          <w:sz w:val="22"/>
          <w:szCs w:val="22"/>
        </w:rPr>
        <w:t xml:space="preserve">Communicatieplan tijdlijn</w:t>
      </w:r>
    </w:p>
    <w:p>
      <w:pPr>
        <w:pStyle w:val="ListParagraph"/>
        <w:numPr>
          <w:ilvl w:val="0"/>
          <w:numId w:val="2"/>
        </w:numPr>
        <w:spacing w:before="40" w:after="40"/>
      </w:pPr>
      <w:r>
        <w:rPr>
          <w:rFonts w:ascii="Arial" w:cs="Arial" w:eastAsia="Arial" w:hAnsi="Arial"/>
          <w:b w:val="false"/>
          <w:bCs w:val="false"/>
          <w:color w:val="3d3d3a"/>
          <w:sz w:val="22"/>
          <w:szCs w:val="22"/>
        </w:rPr>
        <w:t xml:space="preserve">Bijlagen: disclaimers, bronverwijzingen, trace-ID</w:t>
      </w:r>
    </w:p>
    <w:p>
      <w:pPr>
        <w:pageBreakBefore/>
      </w:pPr>
      <w:r>
        <w:t xml:space="preserve"/>
      </w:r>
    </w:p>
    <w:p>
      <w:pPr>
        <w:pStyle w:val="Heading1"/>
        <w:pBdr>
          <w:bottom w:val="single" w:color="1d9e75" w:sz="4" w:space="6"/>
        </w:pBdr>
        <w:spacing w:before="400" w:after="160"/>
      </w:pPr>
      <w:r>
        <w:rPr>
          <w:rFonts w:ascii="Arial" w:cs="Arial" w:eastAsia="Arial" w:hAnsi="Arial"/>
          <w:b/>
          <w:bCs/>
          <w:color w:val="0f0f0e"/>
          <w:sz w:val="32"/>
          <w:szCs w:val="32"/>
        </w:rPr>
        <w:t xml:space="preserve">3. Flow 2: Beheer &amp; Nazorg</w:t>
      </w:r>
    </w:p>
    <w:p>
      <w:pPr>
        <w:pStyle w:val="Heading2"/>
        <w:spacing w:before="280" w:after="120"/>
      </w:pPr>
      <w:r>
        <w:rPr>
          <w:rFonts w:ascii="Arial" w:cs="Arial" w:eastAsia="Arial" w:hAnsi="Arial"/>
          <w:b/>
          <w:bCs/>
          <w:color w:val="1d9e75"/>
          <w:sz w:val="26"/>
          <w:szCs w:val="26"/>
        </w:rPr>
        <w:t xml:space="preserve">3.1 Mutatie-import</w:t>
      </w:r>
    </w:p>
    <w:p>
      <w:pPr>
        <w:spacing w:before="60" w:after="80"/>
      </w:pPr>
      <w:r>
        <w:rPr>
          <w:rFonts w:ascii="Arial" w:cs="Arial" w:eastAsia="Arial" w:hAnsi="Arial"/>
          <w:b w:val="false"/>
          <w:bCs w:val="false"/>
          <w:i w:val="false"/>
          <w:iCs w:val="false"/>
          <w:color w:val="3d3d3a"/>
          <w:sz w:val="22"/>
          <w:szCs w:val="22"/>
        </w:rPr>
        <w:t xml:space="preserve">Upload maandelijks de salarisadministratie-export (CSV, compatibel met Exact, AFAS, Nmbrs). Het systeem voert automatisch een diff-analyse uit en toont:</w:t>
      </w:r>
    </w:p>
    <w:p>
      <w:pPr>
        <w:pStyle w:val="ListParagraph"/>
        <w:numPr>
          <w:ilvl w:val="0"/>
          <w:numId w:val="2"/>
        </w:numPr>
        <w:spacing w:before="40" w:after="40"/>
      </w:pPr>
      <w:r>
        <w:rPr>
          <w:rFonts w:ascii="Arial" w:cs="Arial" w:eastAsia="Arial" w:hAnsi="Arial"/>
          <w:b w:val="false"/>
          <w:bCs w:val="false"/>
          <w:color w:val="3d3d3a"/>
          <w:sz w:val="22"/>
          <w:szCs w:val="22"/>
        </w:rPr>
        <w:t xml:space="preserve">Nieuwe werknemers (indiensttreding)</w:t>
      </w:r>
    </w:p>
    <w:p>
      <w:pPr>
        <w:pStyle w:val="ListParagraph"/>
        <w:numPr>
          <w:ilvl w:val="0"/>
          <w:numId w:val="2"/>
        </w:numPr>
        <w:spacing w:before="40" w:after="40"/>
      </w:pPr>
      <w:r>
        <w:rPr>
          <w:rFonts w:ascii="Arial" w:cs="Arial" w:eastAsia="Arial" w:hAnsi="Arial"/>
          <w:b w:val="false"/>
          <w:bCs w:val="false"/>
          <w:color w:val="3d3d3a"/>
          <w:sz w:val="22"/>
          <w:szCs w:val="22"/>
        </w:rPr>
        <w:t xml:space="preserve">Salarisverhogingen en parttime-wijzigingen</w:t>
      </w:r>
    </w:p>
    <w:p>
      <w:pPr>
        <w:pStyle w:val="ListParagraph"/>
        <w:numPr>
          <w:ilvl w:val="0"/>
          <w:numId w:val="2"/>
        </w:numPr>
        <w:spacing w:before="40" w:after="40"/>
      </w:pPr>
      <w:r>
        <w:rPr>
          <w:rFonts w:ascii="Arial" w:cs="Arial" w:eastAsia="Arial" w:hAnsi="Arial"/>
          <w:b w:val="false"/>
          <w:bCs w:val="false"/>
          <w:color w:val="3d3d3a"/>
          <w:sz w:val="22"/>
          <w:szCs w:val="22"/>
        </w:rPr>
        <w:t xml:space="preserve">Uitdiensttredingen</w:t>
      </w:r>
    </w:p>
    <w:p>
      <w:pPr>
        <w:spacing w:before="60" w:after="80"/>
      </w:pPr>
      <w:r>
        <w:rPr>
          <w:rFonts w:ascii="Arial" w:cs="Arial" w:eastAsia="Arial" w:hAnsi="Arial"/>
          <w:b w:val="false"/>
          <w:bCs w:val="false"/>
          <w:i w:val="false"/>
          <w:iCs w:val="false"/>
          <w:color w:val="3d3d3a"/>
          <w:sz w:val="22"/>
          <w:szCs w:val="22"/>
        </w:rPr>
        <w:t xml:space="preserve">Keur elke wijziging individueel of in bulk goed. Na goedkeuring worden de pensioengrondslag en de jaarlast automatisch herberekend.</w:t>
      </w:r>
    </w:p>
    <w:p>
      <w:pPr>
        <w:spacing w:before="80" w:after="80"/>
      </w:pPr>
      <w:r>
        <w:t xml:space="preserve"/>
      </w:r>
    </w:p>
    <w:p>
      <w:pPr>
        <w:pStyle w:val="Heading2"/>
        <w:spacing w:before="280" w:after="120"/>
      </w:pPr>
      <w:r>
        <w:rPr>
          <w:rFonts w:ascii="Arial" w:cs="Arial" w:eastAsia="Arial" w:hAnsi="Arial"/>
          <w:b/>
          <w:bCs/>
          <w:color w:val="1d9e75"/>
          <w:sz w:val="26"/>
          <w:szCs w:val="26"/>
        </w:rPr>
        <w:t xml:space="preserve">3.2 Alert-dashboard</w:t>
      </w:r>
    </w:p>
    <w:p>
      <w:pPr>
        <w:spacing w:before="60" w:after="80"/>
      </w:pPr>
      <w:r>
        <w:rPr>
          <w:rFonts w:ascii="Arial" w:cs="Arial" w:eastAsia="Arial" w:hAnsi="Arial"/>
          <w:b w:val="false"/>
          <w:bCs w:val="false"/>
          <w:i w:val="false"/>
          <w:iCs w:val="false"/>
          <w:color w:val="3d3d3a"/>
          <w:sz w:val="22"/>
          <w:szCs w:val="22"/>
        </w:rPr>
        <w:t xml:space="preserve">Het systeem monitort continu vijf alerttypes: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600"/>
        <w:gridCol w:w="2226"/>
      </w:tblGrid>
      <w:tr>
        <w:trPr>
          <w:tblHeader/>
        </w:trPr>
        <w:tc>
          <w:tcPr>
            <w:tcW w:type="dxa" w:w="2200"/>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Alert-type</w:t>
            </w:r>
          </w:p>
        </w:tc>
        <w:tc>
          <w:tcPr>
            <w:tcW w:type="dxa" w:w="4600"/>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2226"/>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Prioriteit</w:t>
            </w:r>
          </w:p>
        </w:tc>
      </w:tr>
      <w:tr>
        <w:trPr>
          <w:tblHeader w:val="false"/>
        </w:trPr>
        <w:tc>
          <w:tcPr>
            <w:tcW w:type="dxa" w:w="2200"/>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1"/>
                <w:szCs w:val="21"/>
              </w:rPr>
              <w:t xml:space="preserve">Budget-alert</w:t>
            </w:r>
          </w:p>
        </w:tc>
        <w:tc>
          <w:tcPr>
            <w:tcW w:type="dxa" w:w="4600"/>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Pensioenlasten &gt; vastgesteld budget</w:t>
            </w:r>
          </w:p>
        </w:tc>
        <w:tc>
          <w:tcPr>
            <w:tcW w:type="dxa" w:w="2226"/>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Hoog</w:t>
            </w:r>
          </w:p>
        </w:tc>
      </w:tr>
      <w:tr>
        <w:trPr>
          <w:tblHeader w:val="false"/>
        </w:trPr>
        <w:tc>
          <w:tcPr>
            <w:tcW w:type="dxa" w:w="2200"/>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1"/>
                <w:szCs w:val="21"/>
              </w:rPr>
              <w:t xml:space="preserve">Trigger-alert</w:t>
            </w:r>
          </w:p>
        </w:tc>
        <w:tc>
          <w:tcPr>
            <w:tcW w:type="dxa" w:w="4600"/>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5, 10 of 15 jaar voor pensioenleeftijd</w:t>
            </w:r>
          </w:p>
        </w:tc>
        <w:tc>
          <w:tcPr>
            <w:tcW w:type="dxa" w:w="2226"/>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Middel</w:t>
            </w:r>
          </w:p>
        </w:tc>
      </w:tr>
      <w:tr>
        <w:trPr>
          <w:tblHeader w:val="false"/>
        </w:trPr>
        <w:tc>
          <w:tcPr>
            <w:tcW w:type="dxa" w:w="2200"/>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1"/>
                <w:szCs w:val="21"/>
              </w:rPr>
              <w:t xml:space="preserve">Mutatie-alert</w:t>
            </w:r>
          </w:p>
        </w:tc>
        <w:tc>
          <w:tcPr>
            <w:tcW w:type="dxa" w:w="4600"/>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Nieuwe CSV-upload wacht op goedkeuring</w:t>
            </w:r>
          </w:p>
        </w:tc>
        <w:tc>
          <w:tcPr>
            <w:tcW w:type="dxa" w:w="2226"/>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Laag</w:t>
            </w:r>
          </w:p>
        </w:tc>
      </w:tr>
      <w:tr>
        <w:trPr>
          <w:tblHeader w:val="false"/>
        </w:trPr>
        <w:tc>
          <w:tcPr>
            <w:tcW w:type="dxa" w:w="2200"/>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1"/>
                <w:szCs w:val="21"/>
              </w:rPr>
              <w:t xml:space="preserve">Instemming-alert</w:t>
            </w:r>
          </w:p>
        </w:tc>
        <w:tc>
          <w:tcPr>
            <w:tcW w:type="dxa" w:w="4600"/>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Werknemer heeft bezwaar ingediend</w:t>
            </w:r>
          </w:p>
        </w:tc>
        <w:tc>
          <w:tcPr>
            <w:tcW w:type="dxa" w:w="2226"/>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Hoog</w:t>
            </w:r>
          </w:p>
        </w:tc>
      </w:tr>
      <w:tr>
        <w:trPr>
          <w:tblHeader w:val="false"/>
        </w:trPr>
        <w:tc>
          <w:tcPr>
            <w:tcW w:type="dxa" w:w="2200"/>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1"/>
                <w:szCs w:val="21"/>
              </w:rPr>
              <w:t xml:space="preserve">CAO-alert</w:t>
            </w:r>
          </w:p>
        </w:tc>
        <w:tc>
          <w:tcPr>
            <w:tcW w:type="dxa" w:w="4600"/>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CAO-einddatum nadert</w:t>
            </w:r>
          </w:p>
        </w:tc>
        <w:tc>
          <w:tcPr>
            <w:tcW w:type="dxa" w:w="2226"/>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Laag</w:t>
            </w:r>
          </w:p>
        </w:tc>
      </w:tr>
    </w:tbl>
    <w:p>
      <w:pPr>
        <w:spacing w:before="80" w:after="80"/>
      </w:pPr>
      <w:r>
        <w:t xml:space="preserve"/>
      </w:r>
    </w:p>
    <w:p>
      <w:pPr>
        <w:pStyle w:val="Heading2"/>
        <w:spacing w:before="280" w:after="120"/>
      </w:pPr>
      <w:r>
        <w:rPr>
          <w:rFonts w:ascii="Arial" w:cs="Arial" w:eastAsia="Arial" w:hAnsi="Arial"/>
          <w:b/>
          <w:bCs/>
          <w:color w:val="1d9e75"/>
          <w:sz w:val="26"/>
          <w:szCs w:val="26"/>
        </w:rPr>
        <w:t xml:space="preserve">3.3 Instemmingsbeheer</w:t>
      </w:r>
    </w:p>
    <w:p>
      <w:pPr>
        <w:spacing w:before="60" w:after="80"/>
      </w:pPr>
      <w:r>
        <w:rPr>
          <w:rFonts w:ascii="Arial" w:cs="Arial" w:eastAsia="Arial" w:hAnsi="Arial"/>
          <w:b w:val="false"/>
          <w:bCs w:val="false"/>
          <w:i w:val="false"/>
          <w:iCs w:val="false"/>
          <w:color w:val="3d3d3a"/>
          <w:sz w:val="22"/>
          <w:szCs w:val="22"/>
        </w:rPr>
        <w:t xml:space="preserve">Stuur per werknemer een portaaluitnodiging (magic link, geen account nodig). Volg de status per werknemer: niet verstuurd → verstuurd → geopend → ingestemd / bezwaar. Stuur herinneringen aan werknemers die nog niet hebben gereageerd.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4f0b" w:sz="6"/>
              <w:left w:val="none"/>
              <w:bottom w:val="none"/>
              <w:right w:val="none"/>
            </w:tcBorders>
            <w:shd w:fill="faeeda" w:val="clear"/>
            <w:tcMar>
              <w:top w:type="dxa" w:w="120"/>
              <w:left w:type="dxa" w:w="220"/>
              <w:bottom w:type="dxa" w:w="120"/>
              <w:right w:type="dxa" w:w="220"/>
            </w:tcMar>
          </w:tcPr>
          <w:p>
            <w:pPr>
              <w:spacing w:before="0" w:after="60"/>
            </w:pPr>
            <w:r>
              <w:rPr>
                <w:rFonts w:ascii="Arial" w:cs="Arial" w:eastAsia="Arial" w:hAnsi="Arial"/>
                <w:b/>
                <w:bCs/>
                <w:color w:val="854f0b"/>
                <w:sz w:val="22"/>
                <w:szCs w:val="22"/>
              </w:rPr>
              <w:t xml:space="preserve">OR-instemmingsrecht</w:t>
            </w:r>
          </w:p>
          <w:p>
            <w:pPr>
              <w:spacing w:before="0" w:after="0"/>
            </w:pPr>
            <w:r>
              <w:rPr>
                <w:rFonts w:ascii="Arial" w:cs="Arial" w:eastAsia="Arial" w:hAnsi="Arial"/>
                <w:color w:val="854f0b"/>
                <w:sz w:val="20"/>
                <w:szCs w:val="20"/>
              </w:rPr>
              <w:t xml:space="preserve">Vergeet het formele OR-instemmingstraject niet (WOR art. 27). Gebruik het OR-pad in het portaal voor het documenteren van het groepsbesluit.</w:t>
            </w:r>
          </w:p>
        </w:tc>
      </w:tr>
    </w:tbl>
    <w:p>
      <w:pPr>
        <w:pageBreakBefore/>
      </w:pPr>
      <w:r>
        <w:t xml:space="preserve"/>
      </w:r>
    </w:p>
    <w:p>
      <w:pPr>
        <w:pStyle w:val="Heading1"/>
        <w:pBdr>
          <w:bottom w:val="single" w:color="1d9e75" w:sz="4" w:space="6"/>
        </w:pBdr>
        <w:spacing w:before="400" w:after="160"/>
      </w:pPr>
      <w:r>
        <w:rPr>
          <w:rFonts w:ascii="Arial" w:cs="Arial" w:eastAsia="Arial" w:hAnsi="Arial"/>
          <w:b/>
          <w:bCs/>
          <w:color w:val="0f0f0e"/>
          <w:sz w:val="32"/>
          <w:szCs w:val="32"/>
        </w:rPr>
        <w:t xml:space="preserve">4. Flow 3: Documentuitwisseling</w:t>
      </w:r>
    </w:p>
    <w:p>
      <w:pPr>
        <w:pStyle w:val="Heading2"/>
        <w:spacing w:before="280" w:after="120"/>
      </w:pPr>
      <w:r>
        <w:rPr>
          <w:rFonts w:ascii="Arial" w:cs="Arial" w:eastAsia="Arial" w:hAnsi="Arial"/>
          <w:b/>
          <w:bCs/>
          <w:color w:val="1d9e75"/>
          <w:sz w:val="26"/>
          <w:szCs w:val="26"/>
        </w:rPr>
        <w:t xml:space="preserve">4.1 Document versturen (adviseur → werkgever / werknemer)</w:t>
      </w:r>
    </w:p>
    <w:p>
      <w:pPr>
        <w:spacing w:before="60" w:after="80"/>
      </w:pPr>
      <w:r>
        <w:rPr>
          <w:rFonts w:ascii="Arial" w:cs="Arial" w:eastAsia="Arial" w:hAnsi="Arial"/>
          <w:b w:val="false"/>
          <w:bCs w:val="false"/>
          <w:i w:val="false"/>
          <w:iCs w:val="false"/>
          <w:color w:val="3d3d3a"/>
          <w:sz w:val="22"/>
          <w:szCs w:val="22"/>
        </w:rPr>
        <w:t xml:space="preserve">Klik op "Document toevoegen" in het documentenoverzicht. Kies de richting, vul het e-mailadres van de ontvanger in en upload het bestand. Het systeem genereert een beveiligde download-link die:</w:t>
      </w:r>
    </w:p>
    <w:p>
      <w:pPr>
        <w:pStyle w:val="ListParagraph"/>
        <w:numPr>
          <w:ilvl w:val="0"/>
          <w:numId w:val="2"/>
        </w:numPr>
        <w:spacing w:before="40" w:after="40"/>
      </w:pPr>
      <w:r>
        <w:rPr>
          <w:rFonts w:ascii="Arial" w:cs="Arial" w:eastAsia="Arial" w:hAnsi="Arial"/>
          <w:b w:val="false"/>
          <w:bCs w:val="false"/>
          <w:color w:val="3d3d3a"/>
          <w:sz w:val="22"/>
          <w:szCs w:val="22"/>
        </w:rPr>
        <w:t xml:space="preserve">30 dagen geldig is (instelbaar)</w:t>
      </w:r>
    </w:p>
    <w:p>
      <w:pPr>
        <w:pStyle w:val="ListParagraph"/>
        <w:numPr>
          <w:ilvl w:val="0"/>
          <w:numId w:val="2"/>
        </w:numPr>
        <w:spacing w:before="40" w:after="40"/>
      </w:pPr>
      <w:r>
        <w:rPr>
          <w:rFonts w:ascii="Arial" w:cs="Arial" w:eastAsia="Arial" w:hAnsi="Arial"/>
          <w:b w:val="false"/>
          <w:bCs w:val="false"/>
          <w:color w:val="3d3d3a"/>
          <w:sz w:val="22"/>
          <w:szCs w:val="22"/>
        </w:rPr>
        <w:t xml:space="preserve">Maximaal 5 downloads toestaat</w:t>
      </w:r>
    </w:p>
    <w:p>
      <w:pPr>
        <w:pStyle w:val="ListParagraph"/>
        <w:numPr>
          <w:ilvl w:val="0"/>
          <w:numId w:val="2"/>
        </w:numPr>
        <w:spacing w:before="40" w:after="40"/>
      </w:pPr>
      <w:r>
        <w:rPr>
          <w:rFonts w:ascii="Arial" w:cs="Arial" w:eastAsia="Arial" w:hAnsi="Arial"/>
          <w:b w:val="false"/>
          <w:bCs w:val="false"/>
          <w:color w:val="3d3d3a"/>
          <w:sz w:val="22"/>
          <w:szCs w:val="22"/>
        </w:rPr>
        <w:t xml:space="preserve">Een identiteitsbevestiging vereist (naam wordt geregistreerd)</w:t>
      </w:r>
    </w:p>
    <w:p>
      <w:pPr>
        <w:pStyle w:val="ListParagraph"/>
        <w:numPr>
          <w:ilvl w:val="0"/>
          <w:numId w:val="2"/>
        </w:numPr>
        <w:spacing w:before="40" w:after="40"/>
      </w:pPr>
      <w:r>
        <w:rPr>
          <w:rFonts w:ascii="Arial" w:cs="Arial" w:eastAsia="Arial" w:hAnsi="Arial"/>
          <w:b w:val="false"/>
          <w:bCs w:val="false"/>
          <w:color w:val="3d3d3a"/>
          <w:sz w:val="22"/>
          <w:szCs w:val="22"/>
        </w:rPr>
        <w:t xml:space="preserve">Een notificatie stuurt bij iedere download</w:t>
      </w:r>
    </w:p>
    <w:p>
      <w:pPr>
        <w:spacing w:before="80" w:after="80"/>
      </w:pPr>
      <w:r>
        <w:t xml:space="preserve"/>
      </w:r>
    </w:p>
    <w:p>
      <w:pPr>
        <w:pStyle w:val="Heading2"/>
        <w:spacing w:before="280" w:after="120"/>
      </w:pPr>
      <w:r>
        <w:rPr>
          <w:rFonts w:ascii="Arial" w:cs="Arial" w:eastAsia="Arial" w:hAnsi="Arial"/>
          <w:b/>
          <w:bCs/>
          <w:color w:val="1d9e75"/>
          <w:sz w:val="26"/>
          <w:szCs w:val="26"/>
        </w:rPr>
        <w:t xml:space="preserve">4.2 Upload-link genereren (werkgever → adviseur)</w:t>
      </w:r>
    </w:p>
    <w:p>
      <w:pPr>
        <w:spacing w:before="60" w:after="80"/>
      </w:pPr>
      <w:r>
        <w:rPr>
          <w:rFonts w:ascii="Arial" w:cs="Arial" w:eastAsia="Arial" w:hAnsi="Arial"/>
          <w:b w:val="false"/>
          <w:bCs w:val="false"/>
          <w:i w:val="false"/>
          <w:iCs w:val="false"/>
          <w:color w:val="3d3d3a"/>
          <w:sz w:val="22"/>
          <w:szCs w:val="22"/>
        </w:rPr>
        <w:t xml:space="preserve">Kies de richting "Werkgever → Adviseur" en vul het e-mailadres van de werkgever in. Het systeem genereert een upload-link die 14 dagen geldig is. De werkgever kan via deze link bestanden uploaden zonder een account aan te maken. Alle uploads worden versleuteld opgeslagen en zijn uitsluitend toegankelijk voor uw kantoor.</w:t>
      </w:r>
    </w:p>
    <w:p>
      <w:pPr>
        <w:pageBreakBefore/>
      </w:pPr>
      <w:r>
        <w:t xml:space="preserve"/>
      </w:r>
    </w:p>
    <w:p>
      <w:pPr>
        <w:pStyle w:val="Heading1"/>
        <w:pBdr>
          <w:bottom w:val="single" w:color="1d9e75" w:sz="4" w:space="6"/>
        </w:pBdr>
        <w:spacing w:before="400" w:after="160"/>
      </w:pPr>
      <w:r>
        <w:rPr>
          <w:rFonts w:ascii="Arial" w:cs="Arial" w:eastAsia="Arial" w:hAnsi="Arial"/>
          <w:b/>
          <w:bCs/>
          <w:color w:val="0f0f0e"/>
          <w:sz w:val="32"/>
          <w:szCs w:val="32"/>
        </w:rPr>
        <w:t xml:space="preserve">5. Parameterkalender en jaarlijkse updates</w:t>
      </w:r>
    </w:p>
    <w:p>
      <w:pPr>
        <w:spacing w:before="60" w:after="80"/>
      </w:pPr>
      <w:r>
        <w:rPr>
          <w:rFonts w:ascii="Arial" w:cs="Arial" w:eastAsia="Arial" w:hAnsi="Arial"/>
          <w:b w:val="false"/>
          <w:bCs w:val="false"/>
          <w:i w:val="false"/>
          <w:iCs w:val="false"/>
          <w:color w:val="3d3d3a"/>
          <w:sz w:val="22"/>
          <w:szCs w:val="22"/>
        </w:rPr>
        <w:t xml:space="preserve">Bepaalde parameters in AdviesFocus worden jaarlijks bijgewerkt. Controleer elk jaar in januari de volgende waarden en update ze via het admin-scherm onder Instellingen → 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026"/>
      </w:tblGrid>
      <w:tr>
        <w:trPr>
          <w:tblHeader/>
        </w:trPr>
        <w:tc>
          <w:tcPr>
            <w:tcW w:type="dxa" w:w="2200"/>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Parameter</w:t>
            </w:r>
          </w:p>
        </w:tc>
        <w:tc>
          <w:tcPr>
            <w:tcW w:type="dxa" w:w="1800"/>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Huidig (2026)</w:t>
            </w:r>
          </w:p>
        </w:tc>
        <w:tc>
          <w:tcPr>
            <w:tcW w:type="dxa" w:w="2000"/>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Update-frequentie</w:t>
            </w:r>
          </w:p>
        </w:tc>
        <w:tc>
          <w:tcPr>
            <w:tcW w:type="dxa" w:w="3026"/>
            <w:tcBorders>
              <w:top w:val="single" w:color="e2e0d9" w:sz="1"/>
              <w:left w:val="single" w:color="e2e0d9" w:sz="1"/>
              <w:bottom w:val="single" w:color="e2e0d9" w:sz="1"/>
              <w:right w:val="single" w:color="e2e0d9" w:sz="1"/>
            </w:tcBorders>
            <w:shd w:fill="1d9e75" w:val="clear"/>
            <w:tcMar>
              <w:top w:type="dxa" w:w="80"/>
              <w:left w:type="dxa" w:w="120"/>
              <w:bottom w:type="dxa" w:w="80"/>
              <w:right w:type="dxa" w:w="120"/>
            </w:tcMar>
          </w:tcPr>
          <w:p>
            <w:r>
              <w:rPr>
                <w:rFonts w:ascii="Arial" w:cs="Arial" w:eastAsia="Arial" w:hAnsi="Arial"/>
                <w:b/>
                <w:bCs/>
                <w:color w:val="ffffff"/>
                <w:sz w:val="19"/>
                <w:szCs w:val="19"/>
              </w:rPr>
              <w:t xml:space="preserve">Bron</w:t>
            </w:r>
          </w:p>
        </w:tc>
      </w:tr>
      <w:tr>
        <w:trPr>
          <w:tblHeader w:val="false"/>
        </w:trPr>
        <w:tc>
          <w:tcPr>
            <w:tcW w:type="dxa" w:w="2200"/>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1"/>
                <w:szCs w:val="21"/>
              </w:rPr>
              <w:t xml:space="preserve">Franchise (AOW-drempel)</w:t>
            </w:r>
          </w:p>
        </w:tc>
        <w:tc>
          <w:tcPr>
            <w:tcW w:type="dxa" w:w="1800"/>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€ 17.545</w:t>
            </w:r>
          </w:p>
        </w:tc>
        <w:tc>
          <w:tcPr>
            <w:tcW w:type="dxa" w:w="2000"/>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Jaarlijks (januari)</w:t>
            </w:r>
          </w:p>
        </w:tc>
        <w:tc>
          <w:tcPr>
            <w:tcW w:type="dxa" w:w="3026"/>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Belastingdienst</w:t>
            </w:r>
          </w:p>
        </w:tc>
      </w:tr>
      <w:tr>
        <w:trPr>
          <w:tblHeader w:val="false"/>
        </w:trPr>
        <w:tc>
          <w:tcPr>
            <w:tcW w:type="dxa" w:w="2200"/>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1"/>
                <w:szCs w:val="21"/>
              </w:rPr>
              <w:t xml:space="preserve">DNB URM scenarioset</w:t>
            </w:r>
          </w:p>
        </w:tc>
        <w:tc>
          <w:tcPr>
            <w:tcW w:type="dxa" w:w="1800"/>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2026Q1</w:t>
            </w:r>
          </w:p>
        </w:tc>
        <w:tc>
          <w:tcPr>
            <w:tcW w:type="dxa" w:w="2000"/>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Kwartaallijks</w:t>
            </w:r>
          </w:p>
        </w:tc>
        <w:tc>
          <w:tcPr>
            <w:tcW w:type="dxa" w:w="3026"/>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dnb.nl</w:t>
            </w:r>
          </w:p>
        </w:tc>
      </w:tr>
      <w:tr>
        <w:trPr>
          <w:tblHeader w:val="false"/>
        </w:trPr>
        <w:tc>
          <w:tcPr>
            <w:tcW w:type="dxa" w:w="2200"/>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1"/>
                <w:szCs w:val="21"/>
              </w:rPr>
              <w:t xml:space="preserve">Premie-staffelpercentages</w:t>
            </w:r>
          </w:p>
        </w:tc>
        <w:tc>
          <w:tcPr>
            <w:tcW w:type="dxa" w:w="1800"/>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5,4% – 32,2%</w:t>
            </w:r>
          </w:p>
        </w:tc>
        <w:tc>
          <w:tcPr>
            <w:tcW w:type="dxa" w:w="2000"/>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Bij parameterherziening</w:t>
            </w:r>
          </w:p>
        </w:tc>
        <w:tc>
          <w:tcPr>
            <w:tcW w:type="dxa" w:w="3026"/>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Commissie Parameters</w:t>
            </w:r>
          </w:p>
        </w:tc>
      </w:tr>
      <w:tr>
        <w:trPr>
          <w:tblHeader w:val="false"/>
        </w:trPr>
        <w:tc>
          <w:tcPr>
            <w:tcW w:type="dxa" w:w="2200"/>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1"/>
                <w:szCs w:val="21"/>
              </w:rPr>
              <w:t xml:space="preserve">CAO-codelijst</w:t>
            </w:r>
          </w:p>
        </w:tc>
        <w:tc>
          <w:tcPr>
            <w:tcW w:type="dxa" w:w="1800"/>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1.589 entries (jan 2026)</w:t>
            </w:r>
          </w:p>
        </w:tc>
        <w:tc>
          <w:tcPr>
            <w:tcW w:type="dxa" w:w="2000"/>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Halfjaarlijks</w:t>
            </w:r>
          </w:p>
        </w:tc>
        <w:tc>
          <w:tcPr>
            <w:tcW w:type="dxa" w:w="3026"/>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SZW</w:t>
            </w:r>
          </w:p>
        </w:tc>
      </w:tr>
      <w:tr>
        <w:trPr>
          <w:tblHeader w:val="false"/>
        </w:trPr>
        <w:tc>
          <w:tcPr>
            <w:tcW w:type="dxa" w:w="2200"/>
            <w:tcBorders>
              <w:top w:val="single" w:color="e2e0d9" w:sz="1"/>
              <w:left w:val="single" w:color="e2e0d9" w:sz="1"/>
              <w:bottom w:val="single" w:color="e2e0d9" w:sz="1"/>
              <w:right w:val="single" w:color="e2e0d9" w:sz="1"/>
            </w:tcBorders>
            <w:shd w:fill="f7f6f3" w:val="clear"/>
            <w:tcMar>
              <w:top w:type="dxa" w:w="80"/>
              <w:left w:type="dxa" w:w="120"/>
              <w:bottom w:type="dxa" w:w="80"/>
              <w:right w:type="dxa" w:w="120"/>
            </w:tcMar>
          </w:tcPr>
          <w:p>
            <w:r>
              <w:rPr>
                <w:rFonts w:ascii="Arial" w:cs="Arial" w:eastAsia="Arial" w:hAnsi="Arial"/>
                <w:b/>
                <w:bCs/>
                <w:color w:val="0f0f0e"/>
                <w:sz w:val="21"/>
                <w:szCs w:val="21"/>
              </w:rPr>
              <w:t xml:space="preserve">ANW-uitkering (bruto)</w:t>
            </w:r>
          </w:p>
        </w:tc>
        <w:tc>
          <w:tcPr>
            <w:tcW w:type="dxa" w:w="1800"/>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€ 1.643/mnd</w:t>
            </w:r>
          </w:p>
        </w:tc>
        <w:tc>
          <w:tcPr>
            <w:tcW w:type="dxa" w:w="2000"/>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Jaarlijks</w:t>
            </w:r>
          </w:p>
        </w:tc>
        <w:tc>
          <w:tcPr>
            <w:tcW w:type="dxa" w:w="3026"/>
            <w:tcBorders>
              <w:top w:val="single" w:color="e2e0d9" w:sz="1"/>
              <w:left w:val="single" w:color="e2e0d9" w:sz="1"/>
              <w:bottom w:val="single" w:color="e2e0d9" w:sz="1"/>
              <w:right w:val="single" w:color="e2e0d9" w:sz="1"/>
            </w:tcBorders>
            <w:tcMar>
              <w:top w:type="dxa" w:w="80"/>
              <w:left w:type="dxa" w:w="120"/>
              <w:bottom w:type="dxa" w:w="80"/>
              <w:right w:type="dxa" w:w="120"/>
            </w:tcMar>
          </w:tcPr>
          <w:p>
            <w:r>
              <w:rPr>
                <w:rFonts w:ascii="Arial" w:cs="Arial" w:eastAsia="Arial" w:hAnsi="Arial"/>
                <w:b w:val="false"/>
                <w:bCs w:val="false"/>
                <w:color w:val="3d3d3a"/>
                <w:sz w:val="21"/>
                <w:szCs w:val="21"/>
              </w:rPr>
              <w:t xml:space="preserve">SVB</w:t>
            </w:r>
          </w:p>
        </w:tc>
      </w:tr>
    </w:tbl>
    <w:p>
      <w:pPr>
        <w:spacing w:before="8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54f0b" w:sz="6"/>
              <w:left w:val="none"/>
              <w:bottom w:val="none"/>
              <w:right w:val="none"/>
            </w:tcBorders>
            <w:shd w:fill="faeeda" w:val="clear"/>
            <w:tcMar>
              <w:top w:type="dxa" w:w="120"/>
              <w:left w:type="dxa" w:w="220"/>
              <w:bottom w:type="dxa" w:w="120"/>
              <w:right w:type="dxa" w:w="220"/>
            </w:tcMar>
          </w:tcPr>
          <w:p>
            <w:pPr>
              <w:spacing w:before="0" w:after="60"/>
            </w:pPr>
            <w:r>
              <w:rPr>
                <w:rFonts w:ascii="Arial" w:cs="Arial" w:eastAsia="Arial" w:hAnsi="Arial"/>
                <w:b/>
                <w:bCs/>
                <w:color w:val="854f0b"/>
                <w:sz w:val="22"/>
                <w:szCs w:val="22"/>
              </w:rPr>
              <w:t xml:space="preserve">Franchise-indexatie</w:t>
            </w:r>
          </w:p>
          <w:p>
            <w:pPr>
              <w:spacing w:before="0" w:after="0"/>
            </w:pPr>
            <w:r>
              <w:rPr>
                <w:rFonts w:ascii="Arial" w:cs="Arial" w:eastAsia="Arial" w:hAnsi="Arial"/>
                <w:color w:val="854f0b"/>
                <w:sz w:val="20"/>
                <w:szCs w:val="20"/>
              </w:rPr>
              <w:t xml:space="preserve">De franchise wordt jaarlijks geïndexeerd door de Belastingdienst. Een verouderde franchise leidt tot onjuiste pensioengrondslag-berekeningen en is een compliance-risico.</w:t>
            </w:r>
          </w:p>
        </w:tc>
      </w:tr>
    </w:tbl>
    <w:p>
      <w:pPr>
        <w:pageBreakBefore/>
      </w:pPr>
      <w:r>
        <w:t xml:space="preserve"/>
      </w:r>
    </w:p>
    <w:p>
      <w:pPr>
        <w:pStyle w:val="Heading1"/>
        <w:pBdr>
          <w:bottom w:val="single" w:color="1d9e75" w:sz="4" w:space="6"/>
        </w:pBdr>
        <w:spacing w:before="400" w:after="160"/>
      </w:pPr>
      <w:r>
        <w:rPr>
          <w:rFonts w:ascii="Arial" w:cs="Arial" w:eastAsia="Arial" w:hAnsi="Arial"/>
          <w:b/>
          <w:bCs/>
          <w:color w:val="0f0f0e"/>
          <w:sz w:val="32"/>
          <w:szCs w:val="32"/>
        </w:rPr>
        <w:t xml:space="preserve">6. Veelgestelde vragen</w:t>
      </w:r>
    </w:p>
    <w:p>
      <w:pPr>
        <w:spacing w:before="200" w:after="80"/>
      </w:pPr>
      <w:r>
        <w:rPr>
          <w:rFonts w:ascii="Arial" w:cs="Arial" w:eastAsia="Arial" w:hAnsi="Arial"/>
          <w:b/>
          <w:bCs/>
          <w:color w:val="0f0f0e"/>
          <w:sz w:val="22"/>
          <w:szCs w:val="22"/>
        </w:rPr>
        <w:t xml:space="preserve">V: Wat als een werknemer bezwaar maakt?</w:t>
      </w:r>
    </w:p>
    <w:p>
      <w:pPr>
        <w:spacing w:before="60" w:after="80"/>
      </w:pPr>
      <w:r>
        <w:rPr>
          <w:rFonts w:ascii="Arial" w:cs="Arial" w:eastAsia="Arial" w:hAnsi="Arial"/>
          <w:b w:val="false"/>
          <w:bCs w:val="false"/>
          <w:i w:val="false"/>
          <w:iCs w:val="false"/>
          <w:color w:val="3d3d3a"/>
          <w:sz w:val="22"/>
          <w:szCs w:val="22"/>
        </w:rPr>
        <w:t xml:space="preserve">A: Registreer het bezwaar in het instemmingsdashboard. Bespreek met de werkgever of het bezwaar inhoudelijk behandeld kan worden. Documenteer de afhandeling in het dossier.</w:t>
      </w:r>
    </w:p>
    <w:p>
      <w:pPr>
        <w:spacing w:before="40" w:after="40"/>
      </w:pPr>
      <w:r>
        <w:t xml:space="preserve"/>
      </w:r>
    </w:p>
    <w:p>
      <w:pPr>
        <w:spacing w:before="200" w:after="80"/>
      </w:pPr>
      <w:r>
        <w:rPr>
          <w:rFonts w:ascii="Arial" w:cs="Arial" w:eastAsia="Arial" w:hAnsi="Arial"/>
          <w:b/>
          <w:bCs/>
          <w:color w:val="0f0f0e"/>
          <w:sz w:val="22"/>
          <w:szCs w:val="22"/>
        </w:rPr>
        <w:t xml:space="preserve">V: Kan ik meerdere scenario's opslaan?</w:t>
      </w:r>
    </w:p>
    <w:p>
      <w:pPr>
        <w:spacing w:before="60" w:after="80"/>
      </w:pPr>
      <w:r>
        <w:rPr>
          <w:rFonts w:ascii="Arial" w:cs="Arial" w:eastAsia="Arial" w:hAnsi="Arial"/>
          <w:b w:val="false"/>
          <w:bCs w:val="false"/>
          <w:i w:val="false"/>
          <w:iCs w:val="false"/>
          <w:color w:val="3d3d3a"/>
          <w:sz w:val="22"/>
          <w:szCs w:val="22"/>
        </w:rPr>
        <w:t xml:space="preserve">A: Ja. Gebruik de "Opslaan in dossier"-knop om tussentijdse berekeningen vast te leggen. Eerdere versies blijven beschikbaar onder Dossier → Versiehistorie.</w:t>
      </w:r>
    </w:p>
    <w:p>
      <w:pPr>
        <w:spacing w:before="40" w:after="40"/>
      </w:pPr>
      <w:r>
        <w:t xml:space="preserve"/>
      </w:r>
    </w:p>
    <w:p>
      <w:pPr>
        <w:spacing w:before="200" w:after="80"/>
      </w:pPr>
      <w:r>
        <w:rPr>
          <w:rFonts w:ascii="Arial" w:cs="Arial" w:eastAsia="Arial" w:hAnsi="Arial"/>
          <w:b/>
          <w:bCs/>
          <w:color w:val="0f0f0e"/>
          <w:sz w:val="22"/>
          <w:szCs w:val="22"/>
        </w:rPr>
        <w:t xml:space="preserve">V: Hoe update ik de DNB scenarioset?</w:t>
      </w:r>
    </w:p>
    <w:p>
      <w:pPr>
        <w:spacing w:before="60" w:after="80"/>
      </w:pPr>
      <w:r>
        <w:rPr>
          <w:rFonts w:ascii="Arial" w:cs="Arial" w:eastAsia="Arial" w:hAnsi="Arial"/>
          <w:b w:val="false"/>
          <w:bCs w:val="false"/>
          <w:i w:val="false"/>
          <w:iCs w:val="false"/>
          <w:color w:val="3d3d3a"/>
          <w:sz w:val="22"/>
          <w:szCs w:val="22"/>
        </w:rPr>
        <w:t xml:space="preserve">A: Download de actuele P-scenarioset van dnb.nl (20K XLSX). Draai het extractiescript (dnb_urm_extract.py) en upload de output JSON via Admin → URM Scenarioset.</w:t>
      </w:r>
    </w:p>
    <w:p>
      <w:pPr>
        <w:spacing w:before="40" w:after="40"/>
      </w:pPr>
      <w:r>
        <w:t xml:space="preserve"/>
      </w:r>
    </w:p>
    <w:p>
      <w:pPr>
        <w:spacing w:before="200" w:after="80"/>
      </w:pPr>
      <w:r>
        <w:rPr>
          <w:rFonts w:ascii="Arial" w:cs="Arial" w:eastAsia="Arial" w:hAnsi="Arial"/>
          <w:b/>
          <w:bCs/>
          <w:color w:val="0f0f0e"/>
          <w:sz w:val="22"/>
          <w:szCs w:val="22"/>
        </w:rPr>
        <w:t xml:space="preserve">V: Wat als een BPF-verplichting onduidelijk is?</w:t>
      </w:r>
    </w:p>
    <w:p>
      <w:pPr>
        <w:spacing w:before="60" w:after="80"/>
      </w:pPr>
      <w:r>
        <w:rPr>
          <w:rFonts w:ascii="Arial" w:cs="Arial" w:eastAsia="Arial" w:hAnsi="Arial"/>
          <w:b w:val="false"/>
          <w:bCs w:val="false"/>
          <w:i w:val="false"/>
          <w:iCs w:val="false"/>
          <w:color w:val="3d3d3a"/>
          <w:sz w:val="22"/>
          <w:szCs w:val="22"/>
        </w:rPr>
        <w:t xml:space="preserve">A: Gebruik de tweestaps BPF-selector. Als onduidelijk, adviseer de werkgever om dispensatie aan te vragen bij het betreffende BPF voordat het adviestraject wordt gestart.</w:t>
      </w:r>
    </w:p>
    <w:p>
      <w:pPr>
        <w:spacing w:before="40" w:after="40"/>
      </w:pPr>
      <w:r>
        <w:t xml:space="preserve"/>
      </w:r>
    </w:p>
    <w:p>
      <w:pPr>
        <w:spacing w:before="200" w:after="80"/>
      </w:pPr>
      <w:r>
        <w:rPr>
          <w:rFonts w:ascii="Arial" w:cs="Arial" w:eastAsia="Arial" w:hAnsi="Arial"/>
          <w:b/>
          <w:bCs/>
          <w:color w:val="0f0f0e"/>
          <w:sz w:val="22"/>
          <w:szCs w:val="22"/>
        </w:rPr>
        <w:t xml:space="preserve">V: Hoe lang worden dossiers bewaard?</w:t>
      </w:r>
    </w:p>
    <w:p>
      <w:pPr>
        <w:spacing w:before="60" w:after="80"/>
      </w:pPr>
      <w:r>
        <w:rPr>
          <w:rFonts w:ascii="Arial" w:cs="Arial" w:eastAsia="Arial" w:hAnsi="Arial"/>
          <w:b w:val="false"/>
          <w:bCs w:val="false"/>
          <w:i w:val="false"/>
          <w:iCs w:val="false"/>
          <w:color w:val="3d3d3a"/>
          <w:sz w:val="22"/>
          <w:szCs w:val="22"/>
        </w:rPr>
        <w:t xml:space="preserve">A: Dossiers worden bewaard conform de wettelijke bewaartermijn van 7 jaar (Wft art. 4:15). Na verlopen bewaarplicht worden dossiers gearchiveerd en niet automatisch verwijderd.</w:t>
      </w:r>
    </w:p>
    <w:p>
      <w:pPr>
        <w:spacing w:before="40" w:after="40"/>
      </w:pPr>
      <w:r>
        <w:t xml:space="preserve"/>
      </w:r>
    </w:p>
    <w:sectPr>
      <w:headerReference w:type="default" r:id="rId6"/>
      <w:footerReference w:type="default" r:id="rId7"/>
      <w:pgSz w:w="11906" w:h="16838" w:orient="portrait"/>
      <w:pgMar w:top="1134" w:right="1134" w:bottom="1134"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0d9" w:sz="1" w:space="4"/>
      </w:pBdr>
      <w:jc w:val="center"/>
    </w:pPr>
    <w:r>
      <w:rPr>
        <w:rFonts w:ascii="Arial" w:cs="Arial" w:eastAsia="Arial" w:hAnsi="Arial"/>
        <w:color w:val="6b6b67"/>
        <w:sz w:val="16"/>
        <w:szCs w:val="16"/>
      </w:rPr>
      <w:t xml:space="preserve">Vertrouwelijk  ·  AdviesFocus 1.0  ·  Pagina </w:t>
    </w:r>
    <w:r>
      <w:rPr>
        <w:rFonts w:ascii="Arial" w:cs="Arial" w:eastAsia="Arial" w:hAnsi="Arial"/>
        <w:color w:val="6b6b67"/>
        <w:sz w:val="16"/>
        <w:szCs w:val="16"/>
      </w:rPr>
      <w:fldChar w:fldCharType="begin"/>
      <w:instrText xml:space="preserve">PAGE</w:instrText>
      <w:fldChar w:fldCharType="separate"/>
      <w:fldChar w:fldCharType="end"/>
    </w:r>
    <w:r>
      <w:rPr>
        <w:rFonts w:ascii="Arial" w:cs="Arial" w:eastAsia="Arial" w:hAnsi="Arial"/>
        <w:color w:val="6b6b67"/>
        <w:sz w:val="16"/>
        <w:szCs w:val="16"/>
      </w:rPr>
      <w:t xml:space="preserve"> van </w:t>
    </w:r>
    <w:r>
      <w:rPr>
        <w:rFonts w:ascii="Arial" w:cs="Arial" w:eastAsia="Arial" w:hAnsi="Arial"/>
        <w:color w:val="6b6b6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0d9" w:sz="1" w:space="4"/>
      </w:pBdr>
      <w:jc w:val="right"/>
    </w:pPr>
    <w:r>
      <w:rPr>
        <w:rFonts w:ascii="Arial" w:cs="Arial" w:eastAsia="Arial" w:hAnsi="Arial"/>
        <w:color w:val="6b6b67"/>
        <w:sz w:val="18"/>
        <w:szCs w:val="18"/>
      </w:rPr>
      <w:t xml:space="preserve">AdviesFocus  ·  Gebruikershandleiding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f0f0e"/>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1d9e7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2026-03-28T08:51:48.821Z</dcterms:created>
  <dcterms:modified xsi:type="dcterms:W3CDTF">2026-03-28T08:51:48.822Z</dcterms:modified>
</cp:coreProperties>
</file>

<file path=docProps/custom.xml><?xml version="1.0" encoding="utf-8"?>
<Properties xmlns="http://schemas.openxmlformats.org/officeDocument/2006/custom-properties" xmlns:vt="http://schemas.openxmlformats.org/officeDocument/2006/docPropsVTypes"/>
</file>