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0"/>
      </w:pPr>
      <w:r>
        <w:t xml:space="preserve"/>
      </w:r>
    </w:p>
    <w:p>
      <w:pPr>
        <w:pBdr>
          <w:left w:val="single" w:color="1d9e75" w:sz="24" w:space="12"/>
        </w:pBdr>
        <w:spacing w:before="0" w:after="80"/>
      </w:pPr>
      <w:r>
        <w:rPr>
          <w:rFonts w:ascii="Arial" w:cs="Arial" w:eastAsia="Arial" w:hAnsi="Arial"/>
          <w:b/>
          <w:bCs/>
          <w:color w:val="0f0f0e"/>
          <w:sz w:val="52"/>
          <w:szCs w:val="52"/>
        </w:rPr>
        <w:t xml:space="preserve">Dossiervereisten-checklist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6b6b67"/>
          <w:sz w:val="22"/>
          <w:szCs w:val="22"/>
        </w:rPr>
        <w:t xml:space="preserve">AFM-toetsing conform Wft art. 4:23, Bgfo art. 80a en Pensioenwet</w:t>
      </w:r>
    </w:p>
    <w:p>
      <w:pPr>
        <w:pBdr>
          <w:bottom w:val="single" w:color="e2e0d9" w:sz="1"/>
        </w:pBdr>
        <w:spacing w:before="160" w:after="16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color w:val="6b6b67"/>
          <w:sz w:val="20"/>
          <w:szCs w:val="20"/>
        </w:rPr>
        <w:t xml:space="preserve">Versie:  </w:t>
      </w:r>
      <w:r>
        <w:rPr>
          <w:rFonts w:ascii="Arial" w:cs="Arial" w:eastAsia="Arial" w:hAnsi="Arial"/>
          <w:color w:val="3d3d3a"/>
          <w:sz w:val="20"/>
          <w:szCs w:val="20"/>
        </w:rPr>
        <w:t xml:space="preserve">1.0 — 2026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6b6b67"/>
          <w:sz w:val="20"/>
          <w:szCs w:val="20"/>
        </w:rPr>
        <w:t xml:space="preserve">Gebruik:  </w:t>
      </w:r>
      <w:r>
        <w:rPr>
          <w:rFonts w:ascii="Arial" w:cs="Arial" w:eastAsia="Arial" w:hAnsi="Arial"/>
          <w:color w:val="3d3d3a"/>
          <w:sz w:val="20"/>
          <w:szCs w:val="20"/>
        </w:rPr>
        <w:t xml:space="preserve">Vul in per adviestraject voordat het rapport naar de werkgever gaat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6b6b67"/>
          <w:sz w:val="20"/>
          <w:szCs w:val="20"/>
        </w:rPr>
        <w:t xml:space="preserve">Bewaartermijn:  </w:t>
      </w:r>
      <w:r>
        <w:rPr>
          <w:rFonts w:ascii="Arial" w:cs="Arial" w:eastAsia="Arial" w:hAnsi="Arial"/>
          <w:color w:val="3d3d3a"/>
          <w:sz w:val="20"/>
          <w:szCs w:val="20"/>
        </w:rPr>
        <w:t xml:space="preserve">7 jaar (Wft art. 4:15)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9e75" w:sz="6"/>
              <w:left w:val="none"/>
              <w:bottom w:val="none"/>
              <w:right w:val="none"/>
            </w:tcBorders>
            <w:shd w:fill="e0f2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Gebruik deze checklist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d9e75"/>
                <w:sz w:val="20"/>
                <w:szCs w:val="20"/>
              </w:rPr>
              <w:t xml:space="preserve">Bewaar een ingevulde versie van deze checklist per klant in het dossier. Bij een AFM-onderzoek is dit uw eerste bewijslast.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f0f0e"/>
          <w:sz w:val="32"/>
          <w:szCs w:val="32"/>
        </w:rPr>
        <w:t xml:space="preserve">A. Inventarisatie (Wft art. 4:23)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200"/>
        <w:gridCol w:w="2226"/>
      </w:tblGrid>
      <w:tr>
        <w:trPr>
          <w:tblHeader/>
        </w:trPr>
        <w:tc>
          <w:tcPr>
            <w:tcW w:type="dxa" w:w="32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Dossierstuk</w:t>
            </w:r>
          </w:p>
        </w:tc>
        <w:tc>
          <w:tcPr>
            <w:tcW w:type="dxa" w:w="24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Wettelijke grondslag</w:t>
            </w:r>
          </w:p>
        </w:tc>
        <w:tc>
          <w:tcPr>
            <w:tcW w:type="dxa" w:w="12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Aanwezig</w:t>
            </w:r>
          </w:p>
        </w:tc>
        <w:tc>
          <w:tcPr>
            <w:tcW w:type="dxa" w:w="2226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Opmerking</w:t>
            </w:r>
          </w:p>
        </w:tc>
      </w:tr>
      <w:t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e"/>
                <w:sz w:val="20"/>
                <w:szCs w:val="20"/>
              </w:rPr>
              <w:t xml:space="preserve">Module A — Financiële positie werkgever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Wft 4:23 lid 1a</w:t>
            </w:r>
          </w:p>
        </w:tc>
        <w:tc>
          <w:tcPr>
            <w:tcW w:type="dxa" w:w="1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7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e"/>
                <w:sz w:val="20"/>
                <w:szCs w:val="20"/>
              </w:rPr>
              <w:t xml:space="preserve">Module B — Kennis en ervaring werkgever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Wft 4:23 lid 1b</w:t>
            </w:r>
          </w:p>
        </w:tc>
        <w:tc>
          <w:tcPr>
            <w:tcW w:type="dxa" w:w="1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7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e"/>
                <w:sz w:val="20"/>
                <w:szCs w:val="20"/>
              </w:rPr>
              <w:t xml:space="preserve">Module C — Doelstellingen en risicobereidheid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Wft 4:23 lid 1c</w:t>
            </w:r>
          </w:p>
        </w:tc>
        <w:tc>
          <w:tcPr>
            <w:tcW w:type="dxa" w:w="1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7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e"/>
                <w:sz w:val="20"/>
                <w:szCs w:val="20"/>
              </w:rPr>
              <w:t xml:space="preserve">Module D — Kader en verplichtingen (CAO, BPF)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Wft 4:23 lid 1d</w:t>
            </w:r>
          </w:p>
        </w:tc>
        <w:tc>
          <w:tcPr>
            <w:tcW w:type="dxa" w:w="1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7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e"/>
                <w:sz w:val="20"/>
                <w:szCs w:val="20"/>
              </w:rPr>
              <w:t xml:space="preserve">BPF-check gedocumenteerd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Wtp / BPF-verplichting</w:t>
            </w:r>
          </w:p>
        </w:tc>
        <w:tc>
          <w:tcPr>
            <w:tcW w:type="dxa" w:w="1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7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e"/>
                <w:sz w:val="20"/>
                <w:szCs w:val="20"/>
              </w:rPr>
              <w:t xml:space="preserve">Kennisniveau werkgever vastgesteld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Bgfo art. 32a</w:t>
            </w:r>
          </w:p>
        </w:tc>
        <w:tc>
          <w:tcPr>
            <w:tcW w:type="dxa" w:w="1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7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e"/>
                <w:sz w:val="20"/>
                <w:szCs w:val="20"/>
              </w:rPr>
              <w:t xml:space="preserve">Risicobereidheid werkgever vastgesteld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Bgfo art. 32a</w:t>
            </w:r>
          </w:p>
        </w:tc>
        <w:tc>
          <w:tcPr>
            <w:tcW w:type="dxa" w:w="1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7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e"/>
                <w:sz w:val="20"/>
                <w:szCs w:val="20"/>
              </w:rPr>
              <w:t xml:space="preserve">Trace-ID inventarisatie aanwezig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AdviesFocus dossier</w:t>
            </w:r>
          </w:p>
        </w:tc>
        <w:tc>
          <w:tcPr>
            <w:tcW w:type="dxa" w:w="1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7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f0f0e"/>
          <w:sz w:val="32"/>
          <w:szCs w:val="32"/>
        </w:rPr>
        <w:t xml:space="preserve">B. Analyse en vergelijking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200"/>
        <w:gridCol w:w="2226"/>
      </w:tblGrid>
      <w:tr>
        <w:trPr>
          <w:tblHeader/>
        </w:trPr>
        <w:tc>
          <w:tcPr>
            <w:tcW w:type="dxa" w:w="32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Dossierstuk</w:t>
            </w:r>
          </w:p>
        </w:tc>
        <w:tc>
          <w:tcPr>
            <w:tcW w:type="dxa" w:w="24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Wettelijke grondslag</w:t>
            </w:r>
          </w:p>
        </w:tc>
        <w:tc>
          <w:tcPr>
            <w:tcW w:type="dxa" w:w="12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Aanwezig</w:t>
            </w:r>
          </w:p>
        </w:tc>
        <w:tc>
          <w:tcPr>
            <w:tcW w:type="dxa" w:w="2226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Opmerking</w:t>
            </w:r>
          </w:p>
        </w:tc>
      </w:tr>
      <w:t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e"/>
                <w:sz w:val="20"/>
                <w:szCs w:val="20"/>
              </w:rPr>
              <w:t xml:space="preserve">WTP-transitieberekening per werknemer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Wtp art. 10</w:t>
            </w:r>
          </w:p>
        </w:tc>
        <w:tc>
          <w:tcPr>
            <w:tcW w:type="dxa" w:w="1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7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e"/>
                <w:sz w:val="20"/>
                <w:szCs w:val="20"/>
              </w:rPr>
              <w:t xml:space="preserve">Compensatielast per cohort gedocumenteerd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Wtp overgangsrecht</w:t>
            </w:r>
          </w:p>
        </w:tc>
        <w:tc>
          <w:tcPr>
            <w:tcW w:type="dxa" w:w="1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7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e"/>
                <w:sz w:val="20"/>
                <w:szCs w:val="20"/>
              </w:rPr>
              <w:t xml:space="preserve">Gekozen transitiescenario onderbouwd (invaren/eerbiedigend)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Wtp art. 150l</w:t>
            </w:r>
          </w:p>
        </w:tc>
        <w:tc>
          <w:tcPr>
            <w:tcW w:type="dxa" w:w="1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7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e"/>
                <w:sz w:val="20"/>
                <w:szCs w:val="20"/>
              </w:rPr>
              <w:t xml:space="preserve">Minimaal 3 aanbieders vergeleken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Bgfo art. 80a</w:t>
            </w:r>
          </w:p>
        </w:tc>
        <w:tc>
          <w:tcPr>
            <w:tcW w:type="dxa" w:w="1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7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e"/>
                <w:sz w:val="20"/>
                <w:szCs w:val="20"/>
              </w:rPr>
              <w:t xml:space="preserve">Scoremodel en gewichten gedocumenteerd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Bgfo art. 80a</w:t>
            </w:r>
          </w:p>
        </w:tc>
        <w:tc>
          <w:tcPr>
            <w:tcW w:type="dxa" w:w="1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7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e"/>
                <w:sz w:val="20"/>
                <w:szCs w:val="20"/>
              </w:rPr>
              <w:t xml:space="preserve">Afgewezen alternatieven met reden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Bgfo art. 80a</w:t>
            </w:r>
          </w:p>
        </w:tc>
        <w:tc>
          <w:tcPr>
            <w:tcW w:type="dxa" w:w="1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7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e"/>
                <w:sz w:val="20"/>
                <w:szCs w:val="20"/>
              </w:rPr>
              <w:t xml:space="preserve">URM-projecties gebaseerd op actuele DNB-set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Besluit UPW art. 14a</w:t>
            </w:r>
          </w:p>
        </w:tc>
        <w:tc>
          <w:tcPr>
            <w:tcW w:type="dxa" w:w="1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7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e"/>
                <w:sz w:val="20"/>
                <w:szCs w:val="20"/>
              </w:rPr>
              <w:t xml:space="preserve">DNB scenarioset kwartaal gedocumenteerd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Besluit UPW</w:t>
            </w:r>
          </w:p>
        </w:tc>
        <w:tc>
          <w:tcPr>
            <w:tcW w:type="dxa" w:w="1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7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e"/>
                <w:sz w:val="20"/>
                <w:szCs w:val="20"/>
              </w:rPr>
              <w:t xml:space="preserve">Lifecycle-keuze gemotiveerd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Wtp / risicohouding</w:t>
            </w:r>
          </w:p>
        </w:tc>
        <w:tc>
          <w:tcPr>
            <w:tcW w:type="dxa" w:w="1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7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f0f0e"/>
          <w:sz w:val="32"/>
          <w:szCs w:val="32"/>
        </w:rPr>
        <w:t xml:space="preserve">C. Adviesrapport en communicatie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200"/>
        <w:gridCol w:w="2226"/>
      </w:tblGrid>
      <w:tr>
        <w:trPr>
          <w:tblHeader/>
        </w:trPr>
        <w:tc>
          <w:tcPr>
            <w:tcW w:type="dxa" w:w="32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Dossierstuk</w:t>
            </w:r>
          </w:p>
        </w:tc>
        <w:tc>
          <w:tcPr>
            <w:tcW w:type="dxa" w:w="24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Wettelijke grondslag</w:t>
            </w:r>
          </w:p>
        </w:tc>
        <w:tc>
          <w:tcPr>
            <w:tcW w:type="dxa" w:w="12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Aanwezig</w:t>
            </w:r>
          </w:p>
        </w:tc>
        <w:tc>
          <w:tcPr>
            <w:tcW w:type="dxa" w:w="2226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Opmerking</w:t>
            </w:r>
          </w:p>
        </w:tc>
      </w:tr>
      <w:t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e"/>
                <w:sz w:val="20"/>
                <w:szCs w:val="20"/>
              </w:rPr>
              <w:t xml:space="preserve">Adviesrapport verstuurd naar werkgever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Wft 4:20</w:t>
            </w:r>
          </w:p>
        </w:tc>
        <w:tc>
          <w:tcPr>
            <w:tcW w:type="dxa" w:w="1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7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e"/>
                <w:sz w:val="20"/>
                <w:szCs w:val="20"/>
              </w:rPr>
              <w:t xml:space="preserve">Download-bevestiging werkgever vastgelegd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Wft 4:20</w:t>
            </w:r>
          </w:p>
        </w:tc>
        <w:tc>
          <w:tcPr>
            <w:tcW w:type="dxa" w:w="1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7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e"/>
                <w:sz w:val="20"/>
                <w:szCs w:val="20"/>
              </w:rPr>
              <w:t xml:space="preserve">Was-wordt brief per werknemer verstuurd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Pw art. 48a</w:t>
            </w:r>
          </w:p>
        </w:tc>
        <w:tc>
          <w:tcPr>
            <w:tcW w:type="dxa" w:w="1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7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e"/>
                <w:sz w:val="20"/>
                <w:szCs w:val="20"/>
              </w:rPr>
              <w:t xml:space="preserve">Leesbevestiging werknemer vastgelegd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Pw art. 48a</w:t>
            </w:r>
          </w:p>
        </w:tc>
        <w:tc>
          <w:tcPr>
            <w:tcW w:type="dxa" w:w="1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7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e"/>
                <w:sz w:val="20"/>
                <w:szCs w:val="20"/>
              </w:rPr>
              <w:t xml:space="preserve">Digitale instemming werknemers vastgelegd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Pw / Wtp</w:t>
            </w:r>
          </w:p>
        </w:tc>
        <w:tc>
          <w:tcPr>
            <w:tcW w:type="dxa" w:w="1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7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e"/>
                <w:sz w:val="20"/>
                <w:szCs w:val="20"/>
              </w:rPr>
              <w:t xml:space="preserve">OR-instemming gedocumenteerd (indien van toepassing)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WOR art. 27</w:t>
            </w:r>
          </w:p>
        </w:tc>
        <w:tc>
          <w:tcPr>
            <w:tcW w:type="dxa" w:w="1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7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e"/>
                <w:sz w:val="20"/>
                <w:szCs w:val="20"/>
              </w:rPr>
              <w:t xml:space="preserve">Bezwaren werknemers behandeld en vastgelegd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Pw / Wtp</w:t>
            </w:r>
          </w:p>
        </w:tc>
        <w:tc>
          <w:tcPr>
            <w:tcW w:type="dxa" w:w="1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7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f0f0e"/>
          <w:sz w:val="32"/>
          <w:szCs w:val="32"/>
        </w:rPr>
        <w:t xml:space="preserve">D. Lopend beheer en nazorg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200"/>
        <w:gridCol w:w="2226"/>
      </w:tblGrid>
      <w:tr>
        <w:trPr>
          <w:tblHeader/>
        </w:trPr>
        <w:tc>
          <w:tcPr>
            <w:tcW w:type="dxa" w:w="32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Dossierstuk</w:t>
            </w:r>
          </w:p>
        </w:tc>
        <w:tc>
          <w:tcPr>
            <w:tcW w:type="dxa" w:w="24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Wettelijke grondslag</w:t>
            </w:r>
          </w:p>
        </w:tc>
        <w:tc>
          <w:tcPr>
            <w:tcW w:type="dxa" w:w="12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Aanwezig</w:t>
            </w:r>
          </w:p>
        </w:tc>
        <w:tc>
          <w:tcPr>
            <w:tcW w:type="dxa" w:w="2226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Opmerking</w:t>
            </w:r>
          </w:p>
        </w:tc>
      </w:tr>
      <w:t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e"/>
                <w:sz w:val="20"/>
                <w:szCs w:val="20"/>
              </w:rPr>
              <w:t xml:space="preserve">Mutatieprotocol afgesproken met werkgever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Wft zorgplicht</w:t>
            </w:r>
          </w:p>
        </w:tc>
        <w:tc>
          <w:tcPr>
            <w:tcW w:type="dxa" w:w="1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7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e"/>
                <w:sz w:val="20"/>
                <w:szCs w:val="20"/>
              </w:rPr>
              <w:t xml:space="preserve">Jaarlijkse franchise-update ingepland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Belastingdienst</w:t>
            </w:r>
          </w:p>
        </w:tc>
        <w:tc>
          <w:tcPr>
            <w:tcW w:type="dxa" w:w="1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7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e"/>
                <w:sz w:val="20"/>
                <w:szCs w:val="20"/>
              </w:rPr>
              <w:t xml:space="preserve">CAO-einddatum gemonitord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CAO / BPF</w:t>
            </w:r>
          </w:p>
        </w:tc>
        <w:tc>
          <w:tcPr>
            <w:tcW w:type="dxa" w:w="1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7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e"/>
                <w:sz w:val="20"/>
                <w:szCs w:val="20"/>
              </w:rPr>
              <w:t xml:space="preserve">URM-scenarioset kwartaalupdate ingepland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DNB</w:t>
            </w:r>
          </w:p>
        </w:tc>
        <w:tc>
          <w:tcPr>
            <w:tcW w:type="dxa" w:w="1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7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0f0e"/>
                <w:sz w:val="20"/>
                <w:szCs w:val="20"/>
              </w:rPr>
              <w:t xml:space="preserve">Bewaarplicht 7 jaar geborgd</w:t>
            </w:r>
          </w:p>
        </w:tc>
        <w:tc>
          <w:tcPr>
            <w:tcW w:type="dxa" w:w="24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9"/>
                <w:szCs w:val="19"/>
              </w:rPr>
              <w:t xml:space="preserve">Wft art. 4:15</w:t>
            </w:r>
          </w:p>
        </w:tc>
        <w:tc>
          <w:tcPr>
            <w:tcW w:type="dxa" w:w="12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7"/>
                <w:sz w:val="22"/>
                <w:szCs w:val="22"/>
              </w:rPr>
              <w:t xml:space="preserve">☐</w:t>
            </w:r>
          </w:p>
        </w:tc>
        <w:tc>
          <w:tcPr>
            <w:tcW w:type="dxa" w:w="2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7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0f0f0e"/>
          <w:sz w:val="32"/>
          <w:szCs w:val="32"/>
        </w:rPr>
        <w:t xml:space="preserve">E. Handtekening</w:t>
      </w:r>
    </w:p>
    <w:p>
      <w:pPr>
        <w:spacing w:before="200"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Adviseur</w:t>
            </w:r>
          </w:p>
        </w:tc>
        <w:tc>
          <w:tcPr>
            <w:tcW w:type="dxa" w:w="3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Datum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Dossier gecontroleerd door</w:t>
            </w:r>
          </w:p>
        </w:tc>
        <w:tc>
          <w:tcPr>
            <w:tcW w:type="dxa" w:w="3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................................</w:t>
            </w:r>
          </w:p>
        </w:tc>
        <w:tc>
          <w:tcPr>
            <w:tcW w:type="dxa" w:w="3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................................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Kantoor</w:t>
            </w:r>
          </w:p>
        </w:tc>
        <w:tc>
          <w:tcPr>
            <w:tcW w:type="dxa" w:w="3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................................</w:t>
            </w:r>
          </w:p>
        </w:tc>
        <w:tc>
          <w:tcPr>
            <w:tcW w:type="dxa" w:w="3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................................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shd w:fill="f7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e"/>
                <w:sz w:val="21"/>
                <w:szCs w:val="21"/>
              </w:rPr>
              <w:t xml:space="preserve">AFM-nummer</w:t>
            </w:r>
          </w:p>
        </w:tc>
        <w:tc>
          <w:tcPr>
            <w:tcW w:type="dxa" w:w="3800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................................</w:t>
            </w:r>
          </w:p>
        </w:tc>
        <w:tc>
          <w:tcPr>
            <w:tcW w:type="dxa" w:w="3226"/>
            <w:tcBorders>
              <w:top w:val="single" w:color="e2e0d9" w:sz="1"/>
              <w:left w:val="single" w:color="e2e0d9" w:sz="1"/>
              <w:bottom w:val="single" w:color="e2e0d9" w:sz="1"/>
              <w:right w:val="single" w:color="e2e0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1"/>
                <w:szCs w:val="21"/>
              </w:rPr>
              <w:t xml:space="preserve">................................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6b6b67"/>
          <w:sz w:val="22"/>
          <w:szCs w:val="22"/>
        </w:rPr>
        <w:t xml:space="preserve">Bewaar dit document per klantdossier. Bewaartermijn: 7 jaar na datum adviesrapport.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0d9" w:sz="1" w:space="4"/>
      </w:pBdr>
      <w:jc w:val="center"/>
    </w:pPr>
    <w:r>
      <w:rPr>
        <w:rFonts w:ascii="Arial" w:cs="Arial" w:eastAsia="Arial" w:hAnsi="Arial"/>
        <w:color w:val="6b6b67"/>
        <w:sz w:val="16"/>
        <w:szCs w:val="16"/>
      </w:rPr>
      <w:t xml:space="preserve">Vertrouwelijk  ·  AdviesFocus 1.0  ·  Pagina </w:t>
    </w:r>
    <w:r>
      <w:rPr>
        <w:rFonts w:ascii="Arial" w:cs="Arial" w:eastAsia="Arial" w:hAnsi="Arial"/>
        <w:color w:val="6b6b6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7"/>
        <w:sz w:val="16"/>
        <w:szCs w:val="16"/>
      </w:rPr>
      <w:t xml:space="preserve"> van </w:t>
    </w:r>
    <w:r>
      <w:rPr>
        <w:rFonts w:ascii="Arial" w:cs="Arial" w:eastAsia="Arial" w:hAnsi="Arial"/>
        <w:color w:val="6b6b6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0d9" w:sz="1" w:space="4"/>
      </w:pBdr>
      <w:jc w:val="right"/>
    </w:pPr>
    <w:r>
      <w:rPr>
        <w:rFonts w:ascii="Arial" w:cs="Arial" w:eastAsia="Arial" w:hAnsi="Arial"/>
        <w:color w:val="6b6b67"/>
        <w:sz w:val="18"/>
        <w:szCs w:val="18"/>
      </w:rPr>
      <w:t xml:space="preserve">AdviesFocus  ·  Dossiervereisten-checklist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3d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f0f0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2026-03-28T08:51:49.070Z</dcterms:created>
  <dcterms:modified xsi:type="dcterms:W3CDTF">2026-03-28T08:51:49.070Z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