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0"/>
      </w:pPr>
      <w:r>
        <w:t xml:space="preserve"/>
      </w:r>
    </w:p>
    <w:p>
      <w:pPr>
        <w:pBdr>
          <w:left w:val="single" w:color="1d9e75" w:sz="24" w:space="12"/>
        </w:pBdr>
        <w:spacing w:before="0" w:after="80"/>
      </w:pPr>
      <w:r>
        <w:rPr>
          <w:rFonts w:ascii="Arial" w:cs="Arial" w:eastAsia="Arial" w:hAnsi="Arial"/>
          <w:b/>
          <w:bCs/>
          <w:color w:val="0f0f0e"/>
          <w:sz w:val="52"/>
          <w:szCs w:val="52"/>
        </w:rPr>
        <w:t xml:space="preserve">Franchisebeheer en
Parameterkalender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b6b67"/>
          <w:sz w:val="22"/>
          <w:szCs w:val="22"/>
        </w:rPr>
        <w:t xml:space="preserve">Jaarlijkse parameter-updateprocedure — 2026</w:t>
      </w:r>
    </w:p>
    <w:p>
      <w:pPr>
        <w:pBdr>
          <w:bottom w:val="single" w:color="e2e0d9" w:sz="1"/>
        </w:pBdr>
        <w:spacing w:before="160" w:after="16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6b6b67"/>
          <w:sz w:val="20"/>
          <w:szCs w:val="20"/>
        </w:rPr>
        <w:t xml:space="preserve">Versie:  </w:t>
      </w:r>
      <w:r>
        <w:rPr>
          <w:rFonts w:ascii="Arial" w:cs="Arial" w:eastAsia="Arial" w:hAnsi="Arial"/>
          <w:color w:val="3d3d3a"/>
          <w:sz w:val="20"/>
          <w:szCs w:val="20"/>
        </w:rPr>
        <w:t xml:space="preserve">1.0 — 2026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6b6b67"/>
          <w:sz w:val="20"/>
          <w:szCs w:val="20"/>
        </w:rPr>
        <w:t xml:space="preserve">Verantwoordelijke:  </w:t>
      </w:r>
      <w:r>
        <w:rPr>
          <w:rFonts w:ascii="Arial" w:cs="Arial" w:eastAsia="Arial" w:hAnsi="Arial"/>
          <w:color w:val="3d3d3a"/>
          <w:sz w:val="20"/>
          <w:szCs w:val="20"/>
        </w:rPr>
        <w:t xml:space="preserve">Kantoor-administrator AdviesFocus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6b6b67"/>
          <w:sz w:val="20"/>
          <w:szCs w:val="20"/>
        </w:rPr>
        <w:t xml:space="preserve">Kritisch:  </w:t>
      </w:r>
      <w:r>
        <w:rPr>
          <w:rFonts w:ascii="Arial" w:cs="Arial" w:eastAsia="Arial" w:hAnsi="Arial"/>
          <w:color w:val="3d3d3a"/>
          <w:sz w:val="20"/>
          <w:szCs w:val="20"/>
        </w:rPr>
        <w:t xml:space="preserve">Verouderde parameters leiden tot onjuiste berekeningen en compliance-risico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9e75" w:sz="6"/>
              <w:left w:val="none"/>
              <w:bottom w:val="none"/>
              <w:right w:val="none"/>
            </w:tcBorders>
            <w:shd w:fill="e0f2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Stel een jaarlijkse agenda-herinnering 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Elke januari verschijnen de nieuwe parameterwaarden. Plan een vaste update op de tweede week van januari en de vijftiende van elk kwartaal (DNB-publicatiedatum).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1. Parameter-overzicht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8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Waarde 2026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Vorige waarde</w:t>
            </w:r>
          </w:p>
        </w:tc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Bron</w:t>
            </w:r>
          </w:p>
        </w:tc>
        <w:tc>
          <w:tcPr>
            <w:tcW w:type="dxa" w:w="16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Updatefrequentie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Franchise (AOW-drempel)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€ 17.545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€ 17.233</w:t>
            </w:r>
          </w:p>
        </w:tc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Belastingdienst</w:t>
            </w:r>
          </w:p>
        </w:tc>
        <w:tc>
          <w:tcPr>
            <w:tcW w:type="dxa" w:w="16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Jaarlijks (januari)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ANW-uitkering (bruto/mnd)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€ 1.643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€ 1.580</w:t>
            </w:r>
          </w:p>
        </w:tc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SVB</w:t>
            </w:r>
          </w:p>
        </w:tc>
        <w:tc>
          <w:tcPr>
            <w:tcW w:type="dxa" w:w="16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Halfjaarlijks (jan/jul)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Max. pensioenpremie (% loon)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30%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30%</w:t>
            </w:r>
          </w:p>
        </w:tc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Wtp / Belastingdienst</w:t>
            </w:r>
          </w:p>
        </w:tc>
        <w:tc>
          <w:tcPr>
            <w:tcW w:type="dxa" w:w="16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Bij wetswijziging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Aandelenrendement (meetkundig)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5,6% reëel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5,6% reëel</w:t>
            </w:r>
          </w:p>
        </w:tc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Commissie Parameters 2022</w:t>
            </w:r>
          </w:p>
        </w:tc>
        <w:tc>
          <w:tcPr>
            <w:tcW w:type="dxa" w:w="16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Bij parameterherziening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Obligatierendement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Risicovrij + opslag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Idem</w:t>
            </w:r>
          </w:p>
        </w:tc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DNB / Commissie Parameters</w:t>
            </w:r>
          </w:p>
        </w:tc>
        <w:tc>
          <w:tcPr>
            <w:tcW w:type="dxa" w:w="16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Kwartaallijks (Q-set)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Kostencorrectie URM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20 bps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20 bps</w:t>
            </w:r>
          </w:p>
        </w:tc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Commissie Parameters 2022</w:t>
            </w:r>
          </w:p>
        </w:tc>
        <w:tc>
          <w:tcPr>
            <w:tcW w:type="dxa" w:w="16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Bij parameterherziening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DNB URM P-scenarioset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2026Q1 (15 jan 2026)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2025Q4</w:t>
            </w:r>
          </w:p>
        </w:tc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dnb.nl</w:t>
            </w:r>
          </w:p>
        </w:tc>
        <w:tc>
          <w:tcPr>
            <w:tcW w:type="dxa" w:w="16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Kwartaallijks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CAO-codelijst SZW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1.589 entries (jan 2026)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1.571 entries</w:t>
            </w:r>
          </w:p>
        </w:tc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SZW / MinSZW</w:t>
            </w:r>
          </w:p>
        </w:tc>
        <w:tc>
          <w:tcPr>
            <w:tcW w:type="dxa" w:w="16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Halfjaarlijks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2. Franchise — procedure jaarlijkse update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De franchise is de drempel die van het salaris wordt afgetrokken bij de berekening van de pensioengrondslag. Een onjuiste franchise leidt tot structureel te hoge of te lage berekeningen.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Stap-voor-stap updateprocedure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Controleer de nieuwe franchisewaarde elk jaar in de tweede week van januari via de Belastingdienst (belastingdienst.nl → Loonheffingen → Pensioenen en lijfrenten).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Log in op AdviesFocus als kantoor-administrator.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Ga naar Instellingen → Parameters → Franchise.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Vul de nieuwe waarde in en klik op Opslaan.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Het systeem herberekent automatisch alle openstaande dossiers en genereert een signalering als de pensioengrondslag significant wijzigt.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Documenteer de update in het wijzigingslogboek.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6"/>
              <w:left w:val="none"/>
              <w:bottom w:val="none"/>
              <w:right w:val="none"/>
            </w:tcBorders>
            <w:shd w:fill="e6f1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Impact franchise-wijziging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Bij een franchise-stijging van € 312 (2025→2026) daalt de pensioengrondslag van een werknemer met modaal salaris (€ 45.000) met € 312. Dit verlaagt de jaarlijkse premie met circa € 62 (bij 20% premie). Herbereken de compensatielast voor alle actieve dossiers na een franchise-update.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3. DNB URM-scenarioset — kwartaalupdate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De DNB publiceert elk kwartaal een nieuwe P-scenarioset. Gebruik altijd de meest recente set voor lopende adviestrajecten.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Publicatieschema DNB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200"/>
        <w:gridCol w:w="1826"/>
      </w:tblGrid>
      <w:tr>
        <w:trPr>
          <w:tblHeader/>
        </w:trPr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Kwartaal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Publicatiedatum (indicatief)</w:t>
            </w:r>
          </w:p>
        </w:tc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Download-URL</w:t>
            </w:r>
          </w:p>
        </w:tc>
        <w:tc>
          <w:tcPr>
            <w:tcW w:type="dxa" w:w="1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2026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2025Q4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14 oktober 2025</w:t>
            </w:r>
          </w:p>
        </w:tc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dnb.nl/scenariosets</w:t>
            </w:r>
          </w:p>
        </w:tc>
        <w:tc>
          <w:tcPr>
            <w:tcW w:type="dxa" w:w="1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Beschikbaar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2026Q1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15 januari 2026</w:t>
            </w:r>
          </w:p>
        </w:tc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dnb.nl/scenariosets</w:t>
            </w:r>
          </w:p>
        </w:tc>
        <w:tc>
          <w:tcPr>
            <w:tcW w:type="dxa" w:w="1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Actief in AdviesFocus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2026Q2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~15 april 2026</w:t>
            </w:r>
          </w:p>
        </w:tc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dnb.nl/scenariosets</w:t>
            </w:r>
          </w:p>
        </w:tc>
        <w:tc>
          <w:tcPr>
            <w:tcW w:type="dxa" w:w="1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Te downloaden na publicatie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2026Q3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~15 juli 2026</w:t>
            </w:r>
          </w:p>
        </w:tc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dnb.nl/scenariosets</w:t>
            </w:r>
          </w:p>
        </w:tc>
        <w:tc>
          <w:tcPr>
            <w:tcW w:type="dxa" w:w="1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Gepland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2026Q4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~15 oktober 2026</w:t>
            </w:r>
          </w:p>
        </w:tc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dnb.nl/scenariosets</w:t>
            </w:r>
          </w:p>
        </w:tc>
        <w:tc>
          <w:tcPr>
            <w:tcW w:type="dxa" w:w="1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Gepland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Update-procedure DNB-scenarioset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Download de actuele "CP2022 P scenarioset 20K [kwartaal].xlsx" van dnb.nl (±171 MB).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Draai het extractiescript: python dnb_urm_extract.py --input "[bestandsnaam].xlsx" --kwartaal [kwartaal]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Het script genereert een JSON-bestand van ±50 KB (duurt 10–20 minuten).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Upload het JSON-bestand via AdviesFocus Admin → URM Scenarioset → Upload.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Valideer de steekproef (leeftijd 45, equity 60%): zijn de drie scenario-bedragen plausibel?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Activeer de nieuwe set. Alle berekeningen in module 2.3 gebruiken vanaf nu de nieuwe set.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4. CAO-codelijst — halfjaarlijkse update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a"/>
          <w:sz w:val="22"/>
          <w:szCs w:val="22"/>
        </w:rPr>
        <w:t xml:space="preserve">De SZW-codelijst bevat alle CAO's en arbeidsvoorwaardenregelingen. Een update kan leiden tot naamswijzigingen of nieuwe CAO's die relevant zijn voor uw portefeuille.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Procedure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Download de actuele codelijst van open.overheid.nl (zoek op "SZW CAO codelijst").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Stuur het bestand naar support@adviesfocus.nl met het onderwerp "CAO-update [maand] [jaar]".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AdviesFocus verwerkt de update binnen 5 werkdagen.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Controleer na de update of bestaande CAO-koppelingen in uw dossiers nog kloppen.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5. Wijzigingslogboek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6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Datum</w:t>
            </w:r>
          </w:p>
        </w:tc>
        <w:tc>
          <w:tcPr>
            <w:tcW w:type="dxa" w:w="2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Oude waarde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Nieuwe waarde</w:t>
            </w:r>
          </w:p>
        </w:tc>
        <w:tc>
          <w:tcPr>
            <w:tcW w:type="dxa" w:w="1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Bijgewerkt door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Januari 2026</w:t>
            </w:r>
          </w:p>
        </w:tc>
        <w:tc>
          <w:tcPr>
            <w:tcW w:type="dxa" w:w="2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Franchise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€ 17.233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€ 17.545</w:t>
            </w:r>
          </w:p>
        </w:tc>
        <w:tc>
          <w:tcPr>
            <w:tcW w:type="dxa" w:w="1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Automatisch (AdviesFocus)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Januari 2026</w:t>
            </w:r>
          </w:p>
        </w:tc>
        <w:tc>
          <w:tcPr>
            <w:tcW w:type="dxa" w:w="2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DNB URM-set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2025Q4</w:t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2026Q1</w:t>
            </w:r>
          </w:p>
        </w:tc>
        <w:tc>
          <w:tcPr>
            <w:tcW w:type="dxa" w:w="1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/>
            </w:r>
          </w:p>
        </w:tc>
        <w:tc>
          <w:tcPr>
            <w:tcW w:type="dxa" w:w="1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/>
            </w:r>
          </w:p>
        </w:tc>
        <w:tc>
          <w:tcPr>
            <w:tcW w:type="dxa" w:w="1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/>
            </w:r>
          </w:p>
        </w:tc>
        <w:tc>
          <w:tcPr>
            <w:tcW w:type="dxa" w:w="18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b6b67"/>
          <w:sz w:val="22"/>
          <w:szCs w:val="22"/>
        </w:rPr>
        <w:t xml:space="preserve">Vul dit logboek bij elke parameterwijziging in en sla het op in het kantoor-dossier.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0d9" w:sz="1" w:space="4"/>
      </w:pBdr>
      <w:jc w:val="center"/>
    </w:pPr>
    <w:r>
      <w:rPr>
        <w:rFonts w:ascii="Arial" w:cs="Arial" w:eastAsia="Arial" w:hAnsi="Arial"/>
        <w:color w:val="6b6b67"/>
        <w:sz w:val="16"/>
        <w:szCs w:val="16"/>
      </w:rPr>
      <w:t xml:space="preserve">Vertrouwelijk  ·  AdviesFocus 1.0  ·  Pagina </w:t>
    </w:r>
    <w:r>
      <w:rPr>
        <w:rFonts w:ascii="Arial" w:cs="Arial" w:eastAsia="Arial" w:hAnsi="Arial"/>
        <w:color w:val="6b6b6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7"/>
        <w:sz w:val="16"/>
        <w:szCs w:val="16"/>
      </w:rPr>
      <w:t xml:space="preserve"> van </w:t>
    </w:r>
    <w:r>
      <w:rPr>
        <w:rFonts w:ascii="Arial" w:cs="Arial" w:eastAsia="Arial" w:hAnsi="Arial"/>
        <w:color w:val="6b6b6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0d9" w:sz="1" w:space="4"/>
      </w:pBdr>
      <w:jc w:val="right"/>
    </w:pPr>
    <w:r>
      <w:rPr>
        <w:rFonts w:ascii="Arial" w:cs="Arial" w:eastAsia="Arial" w:hAnsi="Arial"/>
        <w:color w:val="6b6b67"/>
        <w:sz w:val="18"/>
        <w:szCs w:val="18"/>
      </w:rPr>
      <w:t xml:space="preserve">AdviesFocus  ·  Parameterkalender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3d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0f0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2026-03-28T08:51:49.191Z</dcterms:created>
  <dcterms:modified xsi:type="dcterms:W3CDTF">2026-03-28T08:51:49.191Z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