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pBdr>
          <w:left w:val="single" w:color="1d9e75" w:sz="24" w:space="12"/>
        </w:pBdr>
        <w:spacing w:before="0" w:after="80"/>
        <w:jc w:val="left"/>
      </w:pPr>
      <w:r>
        <w:rPr>
          <w:rFonts w:ascii="Arial" w:cs="Arial" w:eastAsia="Arial" w:hAnsi="Arial"/>
          <w:b w:val="false"/>
          <w:bCs w:val="false"/>
          <w:color w:val="6b6b67"/>
          <w:sz w:val="52"/>
          <w:szCs w:val="52"/>
        </w:rPr>
        <w:t xml:space="preserve">Pensioenadvies</w:t>
      </w:r>
      <w:r>
        <w:br/>
        <w:t xml:space="preserve">
</w:t>
      </w:r>
      <w:r>
        <w:rPr>
          <w:rFonts w:ascii="Arial" w:cs="Arial" w:eastAsia="Arial" w:hAnsi="Arial"/>
          <w:b/>
          <w:bCs/>
          <w:color w:val="0f0f0e"/>
          <w:sz w:val="72"/>
          <w:szCs w:val="72"/>
        </w:rPr>
        <w:t xml:space="preserve">Oranje Techniek B.V.</w:t>
      </w:r>
    </w:p>
    <w:p>
      <w:pPr>
        <w:spacing w:before="80" w:after="80"/>
      </w:pPr>
      <w:r>
        <w:t xml:space="preserve"/>
      </w:r>
    </w:p>
    <w:p>
      <w:pPr>
        <w:spacing w:before="80" w:after="60"/>
      </w:pPr>
      <w:r>
        <w:rPr>
          <w:rFonts w:ascii="Arial" w:cs="Arial" w:eastAsia="Arial" w:hAnsi="Arial"/>
          <w:i/>
          <w:iCs/>
          <w:color w:val="6b6b67"/>
          <w:sz w:val="22"/>
          <w:szCs w:val="22"/>
        </w:rPr>
        <w:t xml:space="preserve">WTP-Advies conform Wft art. 4:23</w:t>
      </w:r>
    </w:p>
    <w:p>
      <w:pPr>
        <w:pBdr>
          <w:bottom w:val="single" w:color="e2e0d9" w:sz="1"/>
        </w:pBdr>
        <w:spacing w:before="160" w:after="160"/>
      </w:pPr>
    </w:p>
    <w:p>
      <w:pPr>
        <w:spacing w:before="50" w:after="50"/>
      </w:pPr>
      <w:r>
        <w:rPr>
          <w:rFonts w:ascii="Arial" w:cs="Arial" w:eastAsia="Arial" w:hAnsi="Arial"/>
          <w:b/>
          <w:bCs/>
          <w:color w:val="6b6b67"/>
          <w:sz w:val="20"/>
          <w:szCs w:val="20"/>
        </w:rPr>
        <w:t xml:space="preserve">Opgesteld door:  </w:t>
      </w:r>
      <w:r>
        <w:rPr>
          <w:rFonts w:ascii="Arial" w:cs="Arial" w:eastAsia="Arial" w:hAnsi="Arial"/>
          <w:color w:val="3d3d3a"/>
          <w:sz w:val="20"/>
          <w:szCs w:val="20"/>
        </w:rPr>
        <w:t xml:space="preserve">D. Wietzema Menkhorst  ·  Pensioenadvies Menkhorst B.V.</w:t>
      </w:r>
    </w:p>
    <w:p>
      <w:pPr>
        <w:spacing w:before="50" w:after="50"/>
      </w:pPr>
      <w:r>
        <w:rPr>
          <w:rFonts w:ascii="Arial" w:cs="Arial" w:eastAsia="Arial" w:hAnsi="Arial"/>
          <w:b/>
          <w:bCs/>
          <w:color w:val="6b6b67"/>
          <w:sz w:val="20"/>
          <w:szCs w:val="20"/>
        </w:rPr>
        <w:t xml:space="preserve">AFM-nummer:  </w:t>
      </w:r>
      <w:r>
        <w:rPr>
          <w:rFonts w:ascii="Arial" w:cs="Arial" w:eastAsia="Arial" w:hAnsi="Arial"/>
          <w:color w:val="3d3d3a"/>
          <w:sz w:val="20"/>
          <w:szCs w:val="20"/>
        </w:rPr>
        <w:t xml:space="preserve">12345678</w:t>
      </w:r>
    </w:p>
    <w:p>
      <w:pPr>
        <w:spacing w:before="50" w:after="50"/>
      </w:pPr>
      <w:r>
        <w:rPr>
          <w:rFonts w:ascii="Arial" w:cs="Arial" w:eastAsia="Arial" w:hAnsi="Arial"/>
          <w:b/>
          <w:bCs/>
          <w:color w:val="6b6b67"/>
          <w:sz w:val="20"/>
          <w:szCs w:val="20"/>
        </w:rPr>
        <w:t xml:space="preserve">Datum:  </w:t>
      </w:r>
      <w:r>
        <w:rPr>
          <w:rFonts w:ascii="Arial" w:cs="Arial" w:eastAsia="Arial" w:hAnsi="Arial"/>
          <w:color w:val="3d3d3a"/>
          <w:sz w:val="20"/>
          <w:szCs w:val="20"/>
        </w:rPr>
        <w:t xml:space="preserve">28 maart 2026</w:t>
      </w:r>
    </w:p>
    <w:p>
      <w:pPr>
        <w:spacing w:before="50" w:after="50"/>
      </w:pPr>
      <w:r>
        <w:rPr>
          <w:rFonts w:ascii="Arial" w:cs="Arial" w:eastAsia="Arial" w:hAnsi="Arial"/>
          <w:b/>
          <w:bCs/>
          <w:color w:val="6b6b67"/>
          <w:sz w:val="20"/>
          <w:szCs w:val="20"/>
        </w:rPr>
        <w:t xml:space="preserve">Versie:  </w:t>
      </w:r>
      <w:r>
        <w:rPr>
          <w:rFonts w:ascii="Arial" w:cs="Arial" w:eastAsia="Arial" w:hAnsi="Arial"/>
          <w:color w:val="3d3d3a"/>
          <w:sz w:val="20"/>
          <w:szCs w:val="20"/>
        </w:rPr>
        <w:t xml:space="preserve">1.0 — Concept</w:t>
      </w:r>
    </w:p>
    <w:p>
      <w:pPr>
        <w:spacing w:before="50" w:after="50"/>
      </w:pPr>
      <w:r>
        <w:rPr>
          <w:rFonts w:ascii="Arial" w:cs="Arial" w:eastAsia="Arial" w:hAnsi="Arial"/>
          <w:b/>
          <w:bCs/>
          <w:color w:val="6b6b67"/>
          <w:sz w:val="20"/>
          <w:szCs w:val="20"/>
        </w:rPr>
        <w:t xml:space="preserve">Trace-ID:  </w:t>
      </w:r>
      <w:r>
        <w:rPr>
          <w:rFonts w:ascii="Arial" w:cs="Arial" w:eastAsia="Arial" w:hAnsi="Arial"/>
          <w:color w:val="3d3d3a"/>
          <w:sz w:val="20"/>
          <w:szCs w:val="20"/>
        </w:rPr>
        <w:t xml:space="preserve">AF-2026-0328-OT-001</w:t>
      </w:r>
    </w:p>
    <w:p>
      <w:pPr>
        <w:spacing w:before="80" w:after="80"/>
      </w:pPr>
      <w:r>
        <w:t xml:space="preserve"/>
      </w:r>
    </w:p>
    <w:p>
      <w:pPr>
        <w:pBdr>
          <w:bottom w:val="single" w:color="e2e0d9" w:sz="1"/>
        </w:pBdr>
        <w:spacing w:before="160" w:after="160"/>
      </w:pPr>
    </w:p>
    <w:p>
      <w:pPr>
        <w:spacing w:before="50" w:after="50"/>
      </w:pPr>
      <w:r>
        <w:rPr>
          <w:rFonts w:ascii="Arial" w:cs="Arial" w:eastAsia="Arial" w:hAnsi="Arial"/>
          <w:b/>
          <w:bCs/>
          <w:color w:val="6b6b67"/>
          <w:sz w:val="20"/>
          <w:szCs w:val="20"/>
        </w:rPr>
        <w:t xml:space="preserve">Klant:  </w:t>
      </w:r>
      <w:r>
        <w:rPr>
          <w:rFonts w:ascii="Arial" w:cs="Arial" w:eastAsia="Arial" w:hAnsi="Arial"/>
          <w:color w:val="3d3d3a"/>
          <w:sz w:val="20"/>
          <w:szCs w:val="20"/>
        </w:rPr>
        <w:t xml:space="preserve">Oranje Techniek B.V.</w:t>
      </w:r>
    </w:p>
    <w:p>
      <w:pPr>
        <w:spacing w:before="50" w:after="50"/>
      </w:pPr>
      <w:r>
        <w:rPr>
          <w:rFonts w:ascii="Arial" w:cs="Arial" w:eastAsia="Arial" w:hAnsi="Arial"/>
          <w:b/>
          <w:bCs/>
          <w:color w:val="6b6b67"/>
          <w:sz w:val="20"/>
          <w:szCs w:val="20"/>
        </w:rPr>
        <w:t xml:space="preserve">KvK-nummer:  </w:t>
      </w:r>
      <w:r>
        <w:rPr>
          <w:rFonts w:ascii="Arial" w:cs="Arial" w:eastAsia="Arial" w:hAnsi="Arial"/>
          <w:color w:val="3d3d3a"/>
          <w:sz w:val="20"/>
          <w:szCs w:val="20"/>
        </w:rPr>
        <w:t xml:space="preserve">12345678</w:t>
      </w:r>
    </w:p>
    <w:p>
      <w:pPr>
        <w:spacing w:before="50" w:after="50"/>
      </w:pPr>
      <w:r>
        <w:rPr>
          <w:rFonts w:ascii="Arial" w:cs="Arial" w:eastAsia="Arial" w:hAnsi="Arial"/>
          <w:b/>
          <w:bCs/>
          <w:color w:val="6b6b67"/>
          <w:sz w:val="20"/>
          <w:szCs w:val="20"/>
        </w:rPr>
        <w:t xml:space="preserve">Contactpersoon:  </w:t>
      </w:r>
      <w:r>
        <w:rPr>
          <w:rFonts w:ascii="Arial" w:cs="Arial" w:eastAsia="Arial" w:hAnsi="Arial"/>
          <w:color w:val="3d3d3a"/>
          <w:sz w:val="20"/>
          <w:szCs w:val="20"/>
        </w:rPr>
        <w:t xml:space="preserve">J. de Vries  ·  HR Manager</w:t>
      </w:r>
    </w:p>
    <w:p>
      <w:pPr>
        <w:spacing w:before="50" w:after="50"/>
      </w:pPr>
      <w:r>
        <w:rPr>
          <w:rFonts w:ascii="Arial" w:cs="Arial" w:eastAsia="Arial" w:hAnsi="Arial"/>
          <w:b/>
          <w:bCs/>
          <w:color w:val="6b6b67"/>
          <w:sz w:val="20"/>
          <w:szCs w:val="20"/>
        </w:rPr>
        <w:t xml:space="preserve">Adres:  </w:t>
      </w:r>
      <w:r>
        <w:rPr>
          <w:rFonts w:ascii="Arial" w:cs="Arial" w:eastAsia="Arial" w:hAnsi="Arial"/>
          <w:color w:val="3d3d3a"/>
          <w:sz w:val="20"/>
          <w:szCs w:val="20"/>
        </w:rPr>
        <w:t xml:space="preserve">Parkstraat 12, 2514 JK Den Haag</w:t>
      </w:r>
    </w:p>
    <w:p>
      <w:pPr>
        <w:spacing w:before="80" w:after="80"/>
      </w:pPr>
      <w:r>
        <w:t xml:space="preserve"/>
      </w:r>
    </w:p>
    <w:p>
      <w:pPr>
        <w:spacing w:before="600" w:after="0"/>
      </w:pPr>
      <w:r>
        <w:rPr>
          <w:rFonts w:ascii="Arial" w:cs="Arial" w:eastAsia="Arial" w:hAnsi="Arial"/>
          <w:i/>
          <w:iCs/>
          <w:color w:val="6b6b67"/>
          <w:sz w:val="18"/>
          <w:szCs w:val="18"/>
        </w:rPr>
        <w:t xml:space="preserve">Vertrouwelijk — uitsluitend bestemd voor bovengenoemde werkgever</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2. Managementsamenvatting</w:t>
      </w:r>
    </w:p>
    <w:p>
      <w:pPr>
        <w:spacing w:before="60" w:after="80"/>
      </w:pPr>
      <w:r>
        <w:rPr>
          <w:rFonts w:ascii="Arial" w:cs="Arial" w:eastAsia="Arial" w:hAnsi="Arial"/>
          <w:b w:val="false"/>
          <w:bCs w:val="false"/>
          <w:i w:val="false"/>
          <w:iCs w:val="false"/>
          <w:color w:val="3d3d3a"/>
          <w:sz w:val="22"/>
          <w:szCs w:val="22"/>
        </w:rPr>
        <w:t xml:space="preserve">Dit rapport bevat het pensioenadvies voor Oranje Techniek B.V. (KvK 12345678) in het kader van de vereiste transitie naar een nieuwe pensioenregeling conform de Wet toekomst pensioenen (Wtp). Het advies is gebaseerd op de inventarisatie van het Wft klantprofiel en de analyse van de werknemerspopulatie (45 werknemers).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none"/>
              <w:bottom w:val="none"/>
              <w:right w:val="none"/>
            </w:tcBorders>
            <w:shd w:fill="e8f7f1"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Kernadvies</w:t>
            </w:r>
          </w:p>
          <w:p>
            <w:pPr>
              <w:spacing w:before="0" w:after="0"/>
            </w:pPr>
            <w:r>
              <w:rPr>
                <w:rFonts w:ascii="Arial" w:cs="Arial" w:eastAsia="Arial" w:hAnsi="Arial"/>
                <w:color w:val="0f6e56"/>
                <w:sz w:val="20"/>
                <w:szCs w:val="20"/>
              </w:rPr>
              <w:t xml:space="preserve">Op basis van het klantprofiel (kennis: Gemiddeld, risico: Neutraal) en de vergelijking van 3 aanbieders adviseren wij een beschikbare premieregeling bij Nationale-Nederlanden met een vlakke premie van 20% van de pensioengrondslag. De gekozen uitvoerder scoorde het hoogst op het profiel 'Goedkoopst' (82/100). Bij invaren van de regeling bedraagt de totale compensatielast € 312.000.</w:t>
            </w:r>
          </w:p>
        </w:tc>
      </w:tr>
    </w:tbl>
    <w:p>
      <w:pPr>
        <w:spacing w:before="80" w:after="80"/>
      </w:pPr>
      <w:r>
        <w:t xml:space="preserve"/>
      </w:r>
    </w:p>
    <w:p>
      <w:pPr>
        <w:pStyle w:val="Heading2"/>
        <w:spacing w:before="280" w:after="120"/>
      </w:pPr>
      <w:r>
        <w:rPr>
          <w:rFonts w:ascii="Arial" w:cs="Arial" w:eastAsia="Arial" w:hAnsi="Arial"/>
          <w:b/>
          <w:bCs/>
          <w:color w:val="1d9e75"/>
          <w:sz w:val="24"/>
          <w:szCs w:val="24"/>
        </w:rPr>
        <w:t xml:space="preserve">Samenvatting per onderdeel</w:t>
      </w:r>
    </w:p>
    <w:p>
      <w:pPr>
        <w:spacing w:before="200" w:after="80"/>
      </w:pPr>
      <w:r>
        <w:rPr>
          <w:rFonts w:ascii="Arial" w:cs="Arial" w:eastAsia="Arial" w:hAnsi="Arial"/>
          <w:b/>
          <w:bCs/>
          <w:color w:val="0f0f0e"/>
          <w:sz w:val="22"/>
          <w:szCs w:val="22"/>
        </w:rPr>
        <w:t xml:space="preserve">Financiële positie</w:t>
      </w:r>
    </w:p>
    <w:p>
      <w:pPr>
        <w:spacing w:before="60" w:after="80"/>
      </w:pPr>
      <w:r>
        <w:rPr>
          <w:rFonts w:ascii="Arial" w:cs="Arial" w:eastAsia="Arial" w:hAnsi="Arial"/>
          <w:b w:val="false"/>
          <w:bCs w:val="false"/>
          <w:i w:val="false"/>
          <w:iCs w:val="false"/>
          <w:color w:val="3d3d3a"/>
          <w:sz w:val="22"/>
          <w:szCs w:val="22"/>
        </w:rPr>
        <w:t xml:space="preserve">Pensioenlasten bedragen 6.7% van de loonsom — ruim onder de signaleringsgrens van 15%. Het geadviseerde budget van € 220.000/jr is haalbaar.</w:t>
      </w:r>
    </w:p>
    <w:p>
      <w:pPr>
        <w:spacing w:before="200" w:after="80"/>
      </w:pPr>
      <w:r>
        <w:rPr>
          <w:rFonts w:ascii="Arial" w:cs="Arial" w:eastAsia="Arial" w:hAnsi="Arial"/>
          <w:b/>
          <w:bCs/>
          <w:color w:val="0f0f0e"/>
          <w:sz w:val="22"/>
          <w:szCs w:val="22"/>
        </w:rPr>
        <w:t xml:space="preserve">WTP-transitie</w:t>
      </w:r>
    </w:p>
    <w:p>
      <w:pPr>
        <w:spacing w:before="60" w:after="80"/>
      </w:pPr>
      <w:r>
        <w:rPr>
          <w:rFonts w:ascii="Arial" w:cs="Arial" w:eastAsia="Arial" w:hAnsi="Arial"/>
          <w:b w:val="false"/>
          <w:bCs w:val="false"/>
          <w:i w:val="false"/>
          <w:iCs w:val="false"/>
          <w:color w:val="3d3d3a"/>
          <w:sz w:val="22"/>
          <w:szCs w:val="22"/>
        </w:rPr>
        <w:t xml:space="preserve">Van de 45 werknemers gaan 31 er in pensioenopbouw op achteruit door de overgang van staffel naar vlakke premie. Gekozen scenario: invaren. Compensatielast: € 312.000 over de volledige looptijd.</w:t>
      </w:r>
    </w:p>
    <w:p>
      <w:pPr>
        <w:spacing w:before="200" w:after="80"/>
      </w:pPr>
      <w:r>
        <w:rPr>
          <w:rFonts w:ascii="Arial" w:cs="Arial" w:eastAsia="Arial" w:hAnsi="Arial"/>
          <w:b/>
          <w:bCs/>
          <w:color w:val="0f0f0e"/>
          <w:sz w:val="22"/>
          <w:szCs w:val="22"/>
        </w:rPr>
        <w:t xml:space="preserve">Gekozen aanbieder</w:t>
      </w:r>
    </w:p>
    <w:p>
      <w:pPr>
        <w:spacing w:before="60" w:after="80"/>
      </w:pPr>
      <w:r>
        <w:rPr>
          <w:rFonts w:ascii="Arial" w:cs="Arial" w:eastAsia="Arial" w:hAnsi="Arial"/>
          <w:b w:val="false"/>
          <w:bCs w:val="false"/>
          <w:i w:val="false"/>
          <w:iCs w:val="false"/>
          <w:color w:val="3d3d3a"/>
          <w:sz w:val="22"/>
          <w:szCs w:val="22"/>
        </w:rPr>
        <w:t xml:space="preserve">Nationale-Nederlanden — vlakke premie 19.5%, uitvoeringskosten 0.28%, Ja – ANW-volgend, score 82/100.</w:t>
      </w:r>
    </w:p>
    <w:p>
      <w:pPr>
        <w:spacing w:before="200" w:after="80"/>
      </w:pPr>
      <w:r>
        <w:rPr>
          <w:rFonts w:ascii="Arial" w:cs="Arial" w:eastAsia="Arial" w:hAnsi="Arial"/>
          <w:b/>
          <w:bCs/>
          <w:color w:val="0f0f0e"/>
          <w:sz w:val="22"/>
          <w:szCs w:val="22"/>
        </w:rPr>
        <w:t xml:space="preserve">Beleggingsbeleid</w:t>
      </w:r>
    </w:p>
    <w:p>
      <w:pPr>
        <w:spacing w:before="60" w:after="80"/>
      </w:pPr>
      <w:r>
        <w:rPr>
          <w:rFonts w:ascii="Arial" w:cs="Arial" w:eastAsia="Arial" w:hAnsi="Arial"/>
          <w:b w:val="false"/>
          <w:bCs w:val="false"/>
          <w:i w:val="false"/>
          <w:iCs w:val="false"/>
          <w:color w:val="3d3d3a"/>
          <w:sz w:val="22"/>
          <w:szCs w:val="22"/>
        </w:rPr>
        <w:t xml:space="preserve">Gekozen lifecycle: Neutraal lifecycle. Verwacht pensioen (incl. AOW) bij mediaan scenario: € 3.080/mnd.</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3. Klantprofiel (Wft art. 4:23)</w:t>
      </w:r>
    </w:p>
    <w:p>
      <w:pPr>
        <w:spacing w:before="60" w:after="80"/>
      </w:pPr>
      <w:r>
        <w:rPr>
          <w:rFonts w:ascii="Arial" w:cs="Arial" w:eastAsia="Arial" w:hAnsi="Arial"/>
          <w:b w:val="false"/>
          <w:bCs w:val="false"/>
          <w:i w:val="false"/>
          <w:iCs w:val="false"/>
          <w:color w:val="3d3d3a"/>
          <w:sz w:val="22"/>
          <w:szCs w:val="22"/>
        </w:rPr>
        <w:t xml:space="preserve">Het klantprofiel is vastgesteld op basis van de inventarisatie zoals vereist door Wft artikel 4:23. Zonder volledig klantprofiel kan geen geldig pensioenadvies worden gegeven.</w:t>
      </w:r>
    </w:p>
    <w:p>
      <w:pPr>
        <w:spacing w:before="80" w:after="80"/>
      </w:pPr>
      <w:r>
        <w:t xml:space="preserve"/>
      </w:r>
    </w:p>
    <w:p>
      <w:pPr>
        <w:pStyle w:val="Heading2"/>
        <w:spacing w:before="280" w:after="120"/>
      </w:pPr>
      <w:r>
        <w:rPr>
          <w:rFonts w:ascii="Arial" w:cs="Arial" w:eastAsia="Arial" w:hAnsi="Arial"/>
          <w:b/>
          <w:bCs/>
          <w:color w:val="1d9e75"/>
          <w:sz w:val="24"/>
          <w:szCs w:val="24"/>
        </w:rPr>
        <w:t xml:space="preserve">3.1 Financiële positie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4"/>
      </w:tblGrid>
      <w:tr>
        <w:trPr>
          <w:tblHeader/>
        </w:trPr>
        <w:tc>
          <w:tcPr>
            <w:tcW w:type="dxa" w:w="4513"/>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Kengetal</w:t>
            </w:r>
          </w:p>
        </w:tc>
        <w:tc>
          <w:tcPr>
            <w:tcW w:type="dxa" w:w="4513"/>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Waarde</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Jaaromzet 2024</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€ 8.400.000</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Bedrijfsresultaat 2024</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€ 620.000</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Totale loonsom</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€ 2.923.000</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Huidig pensioenbudget</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€ 195.000/jr</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Verwacht budget (5 jr)</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€ 220.000/jr</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Pensioenlast als % loonsom</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6.7% (norm: &lt;15%)</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none"/>
              <w:bottom w:val="none"/>
              <w:right w:val="none"/>
            </w:tcBorders>
            <w:shd w:fill="e8f7f1"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 Financiële draagkracht</w:t>
            </w:r>
          </w:p>
          <w:p>
            <w:pPr>
              <w:spacing w:before="0" w:after="0"/>
            </w:pPr>
            <w:r>
              <w:rPr>
                <w:rFonts w:ascii="Arial" w:cs="Arial" w:eastAsia="Arial" w:hAnsi="Arial"/>
                <w:color w:val="0f6e56"/>
                <w:sz w:val="20"/>
                <w:szCs w:val="20"/>
              </w:rPr>
              <w:t xml:space="preserve">Pensioenlast (6.7%) ligt ruim binnen de signaleringsgrens van 15%.</w:t>
            </w:r>
          </w:p>
        </w:tc>
      </w:tr>
    </w:tbl>
    <w:p>
      <w:pPr>
        <w:spacing w:before="80" w:after="80"/>
      </w:pPr>
      <w:r>
        <w:t xml:space="preserve"/>
      </w:r>
    </w:p>
    <w:p>
      <w:pPr>
        <w:pStyle w:val="Heading2"/>
        <w:spacing w:before="280" w:after="120"/>
      </w:pPr>
      <w:r>
        <w:rPr>
          <w:rFonts w:ascii="Arial" w:cs="Arial" w:eastAsia="Arial" w:hAnsi="Arial"/>
          <w:b/>
          <w:bCs/>
          <w:color w:val="1d9e75"/>
          <w:sz w:val="24"/>
          <w:szCs w:val="24"/>
        </w:rPr>
        <w:t xml:space="preserve">3.2 Kennis en ervaring</w:t>
      </w:r>
    </w:p>
    <w:p>
      <w:pPr>
        <w:spacing w:before="50" w:after="50"/>
      </w:pPr>
      <w:r>
        <w:rPr>
          <w:rFonts w:ascii="Arial" w:cs="Arial" w:eastAsia="Arial" w:hAnsi="Arial"/>
          <w:b/>
          <w:bCs/>
          <w:color w:val="6b6b67"/>
          <w:sz w:val="20"/>
          <w:szCs w:val="20"/>
        </w:rPr>
        <w:t xml:space="preserve">Kennisniveau vastgesteld:  </w:t>
      </w:r>
      <w:r>
        <w:rPr>
          <w:rFonts w:ascii="Arial" w:cs="Arial" w:eastAsia="Arial" w:hAnsi="Arial"/>
          <w:color w:val="3d3d3a"/>
          <w:sz w:val="20"/>
          <w:szCs w:val="20"/>
        </w:rPr>
        <w:t xml:space="preserve">Gemiddeld</w:t>
      </w:r>
    </w:p>
    <w:p>
      <w:pPr>
        <w:spacing w:before="60" w:after="80"/>
      </w:pPr>
      <w:r>
        <w:rPr>
          <w:rFonts w:ascii="Arial" w:cs="Arial" w:eastAsia="Arial" w:hAnsi="Arial"/>
          <w:b w:val="false"/>
          <w:bCs w:val="false"/>
          <w:i w:val="false"/>
          <w:iCs w:val="false"/>
          <w:color w:val="3d3d3a"/>
          <w:sz w:val="22"/>
          <w:szCs w:val="22"/>
        </w:rPr>
        <w:t xml:space="preserve">De werkgever heeft op basis van de vragenlijst het niveau 'Gemiddeld' gescoord. Dit advies bevat standaard toelichting bij technische concepten.</w:t>
      </w:r>
    </w:p>
    <w:p>
      <w:pPr>
        <w:spacing w:before="80" w:after="80"/>
      </w:pPr>
      <w:r>
        <w:t xml:space="preserve"/>
      </w:r>
    </w:p>
    <w:p>
      <w:pPr>
        <w:pStyle w:val="Heading2"/>
        <w:spacing w:before="280" w:after="120"/>
      </w:pPr>
      <w:r>
        <w:rPr>
          <w:rFonts w:ascii="Arial" w:cs="Arial" w:eastAsia="Arial" w:hAnsi="Arial"/>
          <w:b/>
          <w:bCs/>
          <w:color w:val="1d9e75"/>
          <w:sz w:val="24"/>
          <w:szCs w:val="24"/>
        </w:rPr>
        <w:t xml:space="preserve">3.3 Doelstellingen en risicobereidheid</w:t>
      </w:r>
    </w:p>
    <w:p>
      <w:pPr>
        <w:spacing w:before="50" w:after="50"/>
      </w:pPr>
      <w:r>
        <w:rPr>
          <w:rFonts w:ascii="Arial" w:cs="Arial" w:eastAsia="Arial" w:hAnsi="Arial"/>
          <w:b/>
          <w:bCs/>
          <w:color w:val="6b6b67"/>
          <w:sz w:val="20"/>
          <w:szCs w:val="20"/>
        </w:rPr>
        <w:t xml:space="preserve">Gekozen vlakke premie:  </w:t>
      </w:r>
      <w:r>
        <w:rPr>
          <w:rFonts w:ascii="Arial" w:cs="Arial" w:eastAsia="Arial" w:hAnsi="Arial"/>
          <w:color w:val="3d3d3a"/>
          <w:sz w:val="20"/>
          <w:szCs w:val="20"/>
        </w:rPr>
        <w:t xml:space="preserve">20% van de pensioengrondslag</w:t>
      </w:r>
    </w:p>
    <w:p>
      <w:pPr>
        <w:spacing w:before="50" w:after="50"/>
      </w:pPr>
      <w:r>
        <w:rPr>
          <w:rFonts w:ascii="Arial" w:cs="Arial" w:eastAsia="Arial" w:hAnsi="Arial"/>
          <w:b/>
          <w:bCs/>
          <w:color w:val="6b6b67"/>
          <w:sz w:val="20"/>
          <w:szCs w:val="20"/>
        </w:rPr>
        <w:t xml:space="preserve">Nabestaandenpensioen:  </w:t>
      </w:r>
      <w:r>
        <w:rPr>
          <w:rFonts w:ascii="Arial" w:cs="Arial" w:eastAsia="Arial" w:hAnsi="Arial"/>
          <w:color w:val="3d3d3a"/>
          <w:sz w:val="20"/>
          <w:szCs w:val="20"/>
        </w:rPr>
        <w:t xml:space="preserve">Ja</w:t>
      </w:r>
    </w:p>
    <w:p>
      <w:pPr>
        <w:spacing w:before="50" w:after="50"/>
      </w:pPr>
      <w:r>
        <w:rPr>
          <w:rFonts w:ascii="Arial" w:cs="Arial" w:eastAsia="Arial" w:hAnsi="Arial"/>
          <w:b/>
          <w:bCs/>
          <w:color w:val="6b6b67"/>
          <w:sz w:val="20"/>
          <w:szCs w:val="20"/>
        </w:rPr>
        <w:t xml:space="preserve">Compensatiebereidheid:  </w:t>
      </w:r>
      <w:r>
        <w:rPr>
          <w:rFonts w:ascii="Arial" w:cs="Arial" w:eastAsia="Arial" w:hAnsi="Arial"/>
          <w:color w:val="3d3d3a"/>
          <w:sz w:val="20"/>
          <w:szCs w:val="20"/>
        </w:rPr>
        <w:t xml:space="preserve">Beperkt</w:t>
      </w:r>
    </w:p>
    <w:p>
      <w:pPr>
        <w:spacing w:before="50" w:after="50"/>
      </w:pPr>
      <w:r>
        <w:rPr>
          <w:rFonts w:ascii="Arial" w:cs="Arial" w:eastAsia="Arial" w:hAnsi="Arial"/>
          <w:b/>
          <w:bCs/>
          <w:color w:val="6b6b67"/>
          <w:sz w:val="20"/>
          <w:szCs w:val="20"/>
        </w:rPr>
        <w:t xml:space="preserve">Risicobereidheid:  </w:t>
      </w:r>
      <w:r>
        <w:rPr>
          <w:rFonts w:ascii="Arial" w:cs="Arial" w:eastAsia="Arial" w:hAnsi="Arial"/>
          <w:color w:val="3d3d3a"/>
          <w:sz w:val="20"/>
          <w:szCs w:val="20"/>
        </w:rPr>
        <w:t xml:space="preserve">Neutraal</w:t>
      </w:r>
    </w:p>
    <w:p>
      <w:pPr>
        <w:spacing w:before="50" w:after="50"/>
      </w:pPr>
      <w:r>
        <w:rPr>
          <w:rFonts w:ascii="Arial" w:cs="Arial" w:eastAsia="Arial" w:hAnsi="Arial"/>
          <w:b/>
          <w:bCs/>
          <w:color w:val="6b6b67"/>
          <w:sz w:val="20"/>
          <w:szCs w:val="20"/>
        </w:rPr>
        <w:t xml:space="preserve">Gewenste pensioenleeftijd:  </w:t>
      </w:r>
      <w:r>
        <w:rPr>
          <w:rFonts w:ascii="Arial" w:cs="Arial" w:eastAsia="Arial" w:hAnsi="Arial"/>
          <w:color w:val="3d3d3a"/>
          <w:sz w:val="20"/>
          <w:szCs w:val="20"/>
        </w:rPr>
        <w:t xml:space="preserve">67 jaar</w:t>
      </w:r>
    </w:p>
    <w:p>
      <w:pPr>
        <w:spacing w:before="80" w:after="80"/>
      </w:pPr>
      <w:r>
        <w:t xml:space="preserve"/>
      </w:r>
    </w:p>
    <w:p>
      <w:pPr>
        <w:pStyle w:val="Heading2"/>
        <w:spacing w:before="280" w:after="120"/>
      </w:pPr>
      <w:r>
        <w:rPr>
          <w:rFonts w:ascii="Arial" w:cs="Arial" w:eastAsia="Arial" w:hAnsi="Arial"/>
          <w:b/>
          <w:bCs/>
          <w:color w:val="1d9e75"/>
          <w:sz w:val="24"/>
          <w:szCs w:val="24"/>
        </w:rPr>
        <w:t xml:space="preserve">3.4 Kader en verplichtingen</w:t>
      </w:r>
    </w:p>
    <w:p>
      <w:pPr>
        <w:spacing w:before="50" w:after="50"/>
      </w:pPr>
      <w:r>
        <w:rPr>
          <w:rFonts w:ascii="Arial" w:cs="Arial" w:eastAsia="Arial" w:hAnsi="Arial"/>
          <w:b/>
          <w:bCs/>
          <w:color w:val="6b6b67"/>
          <w:sz w:val="20"/>
          <w:szCs w:val="20"/>
        </w:rPr>
        <w:t xml:space="preserve">CAO:  </w:t>
      </w:r>
      <w:r>
        <w:rPr>
          <w:rFonts w:ascii="Arial" w:cs="Arial" w:eastAsia="Arial" w:hAnsi="Arial"/>
          <w:color w:val="3d3d3a"/>
          <w:sz w:val="20"/>
          <w:szCs w:val="20"/>
        </w:rPr>
        <w:t xml:space="preserve">Metaal en Techniek</w:t>
      </w:r>
    </w:p>
    <w:p>
      <w:pPr>
        <w:spacing w:before="50" w:after="50"/>
      </w:pPr>
      <w:r>
        <w:rPr>
          <w:rFonts w:ascii="Arial" w:cs="Arial" w:eastAsia="Arial" w:hAnsi="Arial"/>
          <w:b/>
          <w:bCs/>
          <w:color w:val="6b6b67"/>
          <w:sz w:val="20"/>
          <w:szCs w:val="20"/>
        </w:rPr>
        <w:t xml:space="preserve">BPF-besluit:  </w:t>
      </w:r>
      <w:r>
        <w:rPr>
          <w:rFonts w:ascii="Arial" w:cs="Arial" w:eastAsia="Arial" w:hAnsi="Arial"/>
          <w:color w:val="3d3d3a"/>
          <w:sz w:val="20"/>
          <w:szCs w:val="20"/>
        </w:rPr>
        <w:t xml:space="preserve">Geen BPF-plicht (dispensatie niet van toepassing)</w:t>
      </w:r>
    </w:p>
    <w:p>
      <w:pPr>
        <w:spacing w:before="50" w:after="50"/>
      </w:pPr>
      <w:r>
        <w:rPr>
          <w:rFonts w:ascii="Arial" w:cs="Arial" w:eastAsia="Arial" w:hAnsi="Arial"/>
          <w:b/>
          <w:bCs/>
          <w:color w:val="6b6b67"/>
          <w:sz w:val="20"/>
          <w:szCs w:val="20"/>
        </w:rPr>
        <w:t xml:space="preserve">OR / PVT:  </w:t>
      </w:r>
      <w:r>
        <w:rPr>
          <w:rFonts w:ascii="Arial" w:cs="Arial" w:eastAsia="Arial" w:hAnsi="Arial"/>
          <w:color w:val="3d3d3a"/>
          <w:sz w:val="20"/>
          <w:szCs w:val="20"/>
        </w:rPr>
        <w:t xml:space="preserve">Nee</w:t>
      </w:r>
    </w:p>
    <w:p>
      <w:pPr>
        <w:spacing w:before="60" w:after="80"/>
      </w:pPr>
      <w:r>
        <w:rPr>
          <w:rFonts w:ascii="Arial" w:cs="Arial" w:eastAsia="Arial" w:hAnsi="Arial"/>
          <w:b w:val="false"/>
          <w:bCs w:val="false"/>
          <w:i w:val="false"/>
          <w:iCs w:val="false"/>
          <w:color w:val="3d3d3a"/>
          <w:sz w:val="22"/>
          <w:szCs w:val="22"/>
        </w:rPr>
        <w:t xml:space="preserve">Er is geen BPF-verplichting vastgesteld. Een individuele pensioenregeling is toegestaan.</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4. Huidige situatie</w:t>
      </w:r>
    </w:p>
    <w:p>
      <w:pPr>
        <w:spacing w:before="60" w:after="80"/>
      </w:pPr>
      <w:r>
        <w:rPr>
          <w:rFonts w:ascii="Arial" w:cs="Arial" w:eastAsia="Arial" w:hAnsi="Arial"/>
          <w:b w:val="false"/>
          <w:bCs w:val="false"/>
          <w:i w:val="false"/>
          <w:iCs w:val="false"/>
          <w:color w:val="3d3d3a"/>
          <w:sz w:val="22"/>
          <w:szCs w:val="22"/>
        </w:rPr>
        <w:t xml:space="preserve">De werkgever heeft momenteel een pensioenregeling ondergebracht bij ASR Nederland N.V.. Onderstaand een samenvatting van de kernkenmerken van de huidige regeling.</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5"/>
      </w:tblGrid>
      <w:tr>
        <w:trPr>
          <w:tblHeader/>
        </w:trPr>
        <w:tc>
          <w:tcPr>
            <w:tcW w:type="dxa" w:w="4513"/>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Kenmerk</w:t>
            </w:r>
          </w:p>
        </w:tc>
        <w:tc>
          <w:tcPr>
            <w:tcW w:type="dxa" w:w="4513"/>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Type regeling</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Beschikbare premieregeling (DC)</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Uitvoerder</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ASR Nederland N.V.</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Premiestructuur</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Leeftijdsafhankelijk, 5,4% – 32,2%</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Nabestaandenpensioen</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ANW-volgend nabestaandenpensioen</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Franchise</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€ 17.545</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Werknemersbijdrage</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1/3 van de premie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4"/>
              <w:left w:val="none"/>
              <w:bottom w:val="none"/>
              <w:right w:val="none"/>
            </w:tcBorders>
            <w:shd w:fill="faeeda" w:val="clear"/>
            <w:tcMar>
              <w:top w:type="dxa" w:w="120"/>
              <w:left w:type="dxa" w:w="200"/>
              <w:bottom w:type="dxa" w:w="120"/>
              <w:right w:type="dxa" w:w="200"/>
            </w:tcMar>
          </w:tcPr>
          <w:p>
            <w:pPr>
              <w:spacing w:before="0" w:after="60"/>
            </w:pPr>
            <w:r>
              <w:rPr>
                <w:rFonts w:ascii="Arial" w:cs="Arial" w:eastAsia="Arial" w:hAnsi="Arial"/>
                <w:b/>
                <w:bCs/>
                <w:color w:val="854f0b"/>
                <w:sz w:val="22"/>
                <w:szCs w:val="22"/>
              </w:rPr>
              <w:t xml:space="preserve">Reden voor wijziging</w:t>
            </w:r>
          </w:p>
          <w:p>
            <w:pPr>
              <w:spacing w:before="0" w:after="0"/>
            </w:pPr>
            <w:r>
              <w:rPr>
                <w:rFonts w:ascii="Arial" w:cs="Arial" w:eastAsia="Arial" w:hAnsi="Arial"/>
                <w:color w:val="854f0b"/>
                <w:sz w:val="20"/>
                <w:szCs w:val="20"/>
              </w:rPr>
              <w:t xml:space="preserve">De huidige leeftijdsafhankelijke staffel is niet toegestaan onder de Wet toekomst pensioenen (Wtp). Per uiterlijk 1 januari 2028 moet de regeling zijn omgezet naar een vlakke premie conform art. 10 Wtp.</w:t>
            </w:r>
          </w:p>
        </w:tc>
      </w:tr>
    </w:tbl>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5. WTP-Analyse: Transitie &amp; Compensatie</w:t>
      </w:r>
    </w:p>
    <w:p>
      <w:pPr>
        <w:pStyle w:val="Heading2"/>
        <w:spacing w:before="280" w:after="120"/>
      </w:pPr>
      <w:r>
        <w:rPr>
          <w:rFonts w:ascii="Arial" w:cs="Arial" w:eastAsia="Arial" w:hAnsi="Arial"/>
          <w:b/>
          <w:bCs/>
          <w:color w:val="1d9e75"/>
          <w:sz w:val="24"/>
          <w:szCs w:val="24"/>
        </w:rPr>
        <w:t xml:space="preserve">5.1 Transitiescenario</w:t>
      </w:r>
    </w:p>
    <w:p>
      <w:pPr>
        <w:spacing w:before="60" w:after="80"/>
      </w:pPr>
      <w:r>
        <w:rPr>
          <w:rFonts w:ascii="Arial" w:cs="Arial" w:eastAsia="Arial" w:hAnsi="Arial"/>
          <w:b w:val="false"/>
          <w:bCs w:val="false"/>
          <w:i w:val="false"/>
          <w:iCs w:val="false"/>
          <w:color w:val="3d3d3a"/>
          <w:sz w:val="22"/>
          <w:szCs w:val="22"/>
        </w:rPr>
        <w:t xml:space="preserve">Voor de transitie is gekozen voor het scenario 'invaren': alle 45 werknemers gaan tegelijkertijd over naar de nieuwe vlakke premie van 20%. Dit is administratief eenvoudiger en voldoet aan de Wtp-vereisten.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none"/>
              <w:bottom w:val="none"/>
              <w:right w:val="none"/>
            </w:tcBorders>
            <w:shd w:fill="e8f7f1"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Gekozen scenario: Invaren</w:t>
            </w:r>
          </w:p>
          <w:p>
            <w:pPr>
              <w:spacing w:before="0" w:after="0"/>
            </w:pPr>
            <w:r>
              <w:rPr>
                <w:rFonts w:ascii="Arial" w:cs="Arial" w:eastAsia="Arial" w:hAnsi="Arial"/>
                <w:color w:val="0f6e56"/>
                <w:sz w:val="20"/>
                <w:szCs w:val="20"/>
              </w:rPr>
              <w:t xml:space="preserve">Huidig personeel: vlakke premie 20%. Eenmalige compensatielast: € 312.000 over de looptijd. Geen dubbele administratie.</w:t>
            </w:r>
          </w:p>
        </w:tc>
      </w:tr>
    </w:tbl>
    <w:p>
      <w:pPr>
        <w:spacing w:before="80" w:after="80"/>
      </w:pPr>
      <w:r>
        <w:t xml:space="preserve"/>
      </w:r>
    </w:p>
    <w:p>
      <w:pPr>
        <w:pStyle w:val="Heading2"/>
        <w:spacing w:before="280" w:after="120"/>
      </w:pPr>
      <w:r>
        <w:rPr>
          <w:rFonts w:ascii="Arial" w:cs="Arial" w:eastAsia="Arial" w:hAnsi="Arial"/>
          <w:b/>
          <w:bCs/>
          <w:color w:val="1d9e75"/>
          <w:sz w:val="24"/>
          <w:szCs w:val="24"/>
        </w:rPr>
        <w:t xml:space="preserve">5.2 Compensatieoverzicht</w:t>
      </w:r>
    </w:p>
    <w:p>
      <w:pPr>
        <w:spacing w:before="60" w:after="80"/>
      </w:pPr>
      <w:r>
        <w:rPr>
          <w:rFonts w:ascii="Arial" w:cs="Arial" w:eastAsia="Arial" w:hAnsi="Arial"/>
          <w:b w:val="false"/>
          <w:bCs w:val="false"/>
          <w:i w:val="false"/>
          <w:iCs w:val="false"/>
          <w:color w:val="3d3d3a"/>
          <w:sz w:val="22"/>
          <w:szCs w:val="22"/>
        </w:rPr>
        <w:t xml:space="preserve">Van de 45 werknemers gaan 31 werknemers er in pensioenopbouw op achteruit door de overgang van de leeftijdsafhankelijke staffel naar de vlakke premie. De middengroepen (40–55 jaar) worden het zwaarst getroffen doordat zij de steile opbouw van de staffel missen.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2978"/>
        <w:gridCol w:w="2888"/>
      </w:tblGrid>
      <w:tr>
        <w:trPr>
          <w:tblHeader/>
        </w:trPr>
        <w:tc>
          <w:tcPr>
            <w:tcW w:type="dxa" w:w="3008"/>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Kengetal</w:t>
            </w:r>
          </w:p>
        </w:tc>
        <w:tc>
          <w:tcPr>
            <w:tcW w:type="dxa" w:w="3008"/>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Waarde</w:t>
            </w:r>
          </w:p>
        </w:tc>
        <w:tc>
          <w:tcPr>
            <w:tcW w:type="dxa" w:w="3008"/>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Geraakt werknemers</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31</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van 45 totaal</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Totale compensatielast</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€ 312.000</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Over volledige looptijd</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Jaarlast compensatie</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€ 28.400</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Compensatiefactor 1,0×</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Compensatiefactor</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1,0×</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100% compensatie geadviseerd</w:t>
            </w:r>
          </w:p>
        </w:tc>
      </w:tr>
    </w:tbl>
    <w:p>
      <w:pPr>
        <w:spacing w:before="80" w:after="80"/>
      </w:pPr>
      <w:r>
        <w:t xml:space="preserve"/>
      </w:r>
    </w:p>
    <w:p>
      <w:pPr>
        <w:spacing w:before="60" w:after="80"/>
      </w:pPr>
      <w:r>
        <w:rPr>
          <w:rFonts w:ascii="Arial" w:cs="Arial" w:eastAsia="Arial" w:hAnsi="Arial"/>
          <w:b w:val="false"/>
          <w:bCs w:val="false"/>
          <w:i w:val="false"/>
          <w:iCs w:val="false"/>
          <w:color w:val="6b6b67"/>
          <w:sz w:val="22"/>
          <w:szCs w:val="22"/>
        </w:rPr>
        <w:t xml:space="preserve">De compensatielast is berekend conform de formule: verschil in jaarlijkse inleg × compensatiefactor × resterende dienstjaren. De berekening is gebaseerd op de DNB URM P-scenarioset 2026Q1 (20.000 scenario's).</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6. Productvergelijking</w:t>
      </w:r>
    </w:p>
    <w:p>
      <w:pPr>
        <w:spacing w:before="60" w:after="80"/>
      </w:pPr>
      <w:r>
        <w:rPr>
          <w:rFonts w:ascii="Arial" w:cs="Arial" w:eastAsia="Arial" w:hAnsi="Arial"/>
          <w:b w:val="false"/>
          <w:bCs w:val="false"/>
          <w:i w:val="false"/>
          <w:iCs w:val="false"/>
          <w:color w:val="3d3d3a"/>
          <w:sz w:val="22"/>
          <w:szCs w:val="22"/>
        </w:rPr>
        <w:t xml:space="preserve">Er zijn 3 aanbieders vergeleken op basis van het werkgeversprofiel 'Goedkoopst'. De AFM-richtlijn vereist vergelijking van minimaal 3 aanbieders.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173"/>
        <w:gridCol w:w="1173"/>
        <w:gridCol w:w="1624"/>
        <w:gridCol w:w="1534"/>
        <w:gridCol w:w="1353"/>
      </w:tblGrid>
      <w:tr>
        <w:trPr>
          <w:tblHeader/>
        </w:trPr>
        <w:tc>
          <w:tcPr>
            <w:tcW w:type="dxa" w:w="1504"/>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Aanbieder</w:t>
            </w:r>
          </w:p>
        </w:tc>
        <w:tc>
          <w:tcPr>
            <w:tcW w:type="dxa" w:w="1504"/>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Premie</w:t>
            </w:r>
          </w:p>
        </w:tc>
        <w:tc>
          <w:tcPr>
            <w:tcW w:type="dxa" w:w="1504"/>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Kosten</w:t>
            </w:r>
          </w:p>
        </w:tc>
        <w:tc>
          <w:tcPr>
            <w:tcW w:type="dxa" w:w="1504"/>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Nabestaanden</w:t>
            </w:r>
          </w:p>
        </w:tc>
        <w:tc>
          <w:tcPr>
            <w:tcW w:type="dxa" w:w="1504"/>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Keuzebeg.</w:t>
            </w:r>
          </w:p>
        </w:tc>
        <w:tc>
          <w:tcPr>
            <w:tcW w:type="dxa" w:w="1504"/>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rPr>
          <w:tblHeader w:val="false"/>
        </w:trPr>
        <w:tc>
          <w:tcPr>
            <w:tcW w:type="dxa" w:w="1504"/>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Nationale-Nederlanden ★</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19.5%</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0.28%</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Ja – ANW-volgend</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Ja – volledig portaal</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82/100</w:t>
            </w:r>
          </w:p>
        </w:tc>
      </w:tr>
      <w:tr>
        <w:trPr>
          <w:tblHeader w:val="false"/>
        </w:trPr>
        <w:tc>
          <w:tcPr>
            <w:tcW w:type="dxa" w:w="1504"/>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ASR</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20.1%</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0.31%</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74/100</w:t>
            </w:r>
          </w:p>
        </w:tc>
      </w:tr>
      <w:tr>
        <w:trPr>
          <w:tblHeader w:val="false"/>
        </w:trPr>
        <w:tc>
          <w:tcPr>
            <w:tcW w:type="dxa" w:w="1504"/>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Centraal Beheer</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19.8%</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0.35%</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w:t>
            </w:r>
          </w:p>
        </w:tc>
        <w:tc>
          <w:tcPr>
            <w:tcW w:type="dxa" w:w="1504"/>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68/100</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none"/>
              <w:bottom w:val="none"/>
              <w:right w:val="none"/>
            </w:tcBorders>
            <w:shd w:fill="e8f7f1"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 Aanbevolen: Nationale-Nederlanden</w:t>
            </w:r>
          </w:p>
          <w:p>
            <w:pPr>
              <w:spacing w:before="0" w:after="0"/>
            </w:pPr>
            <w:r>
              <w:rPr>
                <w:rFonts w:ascii="Arial" w:cs="Arial" w:eastAsia="Arial" w:hAnsi="Arial"/>
                <w:color w:val="0f6e56"/>
                <w:sz w:val="20"/>
                <w:szCs w:val="20"/>
              </w:rPr>
              <w:t xml:space="preserve">Score 82/100 op profiel 'Goedkoopst'. Laagste uitvoeringskosten (0.28%) gecombineerd met volledig werknemersportaal voor keuzebegeleiding.</w:t>
            </w:r>
          </w:p>
        </w:tc>
      </w:tr>
    </w:tbl>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7. Aanbeveling</w:t>
      </w:r>
    </w:p>
    <w:p>
      <w:pPr>
        <w:spacing w:before="60" w:after="80"/>
      </w:pPr>
      <w:r>
        <w:rPr>
          <w:rFonts w:ascii="Arial" w:cs="Arial" w:eastAsia="Arial" w:hAnsi="Arial"/>
          <w:b w:val="false"/>
          <w:bCs w:val="false"/>
          <w:i w:val="false"/>
          <w:iCs w:val="false"/>
          <w:color w:val="3d3d3a"/>
          <w:sz w:val="22"/>
          <w:szCs w:val="22"/>
        </w:rPr>
        <w:t xml:space="preserve">Op basis van het klantprofiel van Oranje Techniek B.V. en de productvergelijking van 3 aanbieders adviseren wij het volgende: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none"/>
              <w:bottom w:val="none"/>
              <w:right w:val="none"/>
            </w:tcBorders>
            <w:shd w:fill="e8f7f1"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Aanbeveling: Nationale-Nederlanden</w:t>
            </w:r>
          </w:p>
          <w:p>
            <w:pPr>
              <w:spacing w:before="0" w:after="0"/>
            </w:pPr>
            <w:r>
              <w:rPr>
                <w:rFonts w:ascii="Arial" w:cs="Arial" w:eastAsia="Arial" w:hAnsi="Arial"/>
                <w:color w:val="0f6e56"/>
                <w:sz w:val="20"/>
                <w:szCs w:val="20"/>
              </w:rPr>
              <w:t xml:space="preserve">Beschikbare premieregeling met vlakke premie 19.5%, uitvoeringskosten 0.28%, Ja – ANW-volgend, lifecycle: Neutraal. Score: 82/100.</w:t>
            </w:r>
          </w:p>
        </w:tc>
      </w:tr>
    </w:tbl>
    <w:p>
      <w:pPr>
        <w:spacing w:before="80" w:after="80"/>
      </w:pPr>
      <w:r>
        <w:t xml:space="preserve"/>
      </w:r>
    </w:p>
    <w:p>
      <w:pPr>
        <w:pStyle w:val="Heading2"/>
        <w:spacing w:before="280" w:after="120"/>
      </w:pPr>
      <w:r>
        <w:rPr>
          <w:rFonts w:ascii="Arial" w:cs="Arial" w:eastAsia="Arial" w:hAnsi="Arial"/>
          <w:b/>
          <w:bCs/>
          <w:color w:val="1d9e75"/>
          <w:sz w:val="24"/>
          <w:szCs w:val="24"/>
        </w:rPr>
        <w:t xml:space="preserve">Onderbouwing</w:t>
      </w:r>
    </w:p>
    <w:p>
      <w:pPr>
        <w:spacing w:before="200" w:after="80"/>
      </w:pPr>
      <w:r>
        <w:rPr>
          <w:rFonts w:ascii="Arial" w:cs="Arial" w:eastAsia="Arial" w:hAnsi="Arial"/>
          <w:b/>
          <w:bCs/>
          <w:color w:val="0f0f0e"/>
          <w:sz w:val="22"/>
          <w:szCs w:val="22"/>
        </w:rPr>
        <w:t xml:space="preserve">Aansluiting bij doelstellingen</w:t>
      </w:r>
    </w:p>
    <w:p>
      <w:pPr>
        <w:spacing w:before="60" w:after="80"/>
      </w:pPr>
      <w:r>
        <w:rPr>
          <w:rFonts w:ascii="Arial" w:cs="Arial" w:eastAsia="Arial" w:hAnsi="Arial"/>
          <w:b w:val="false"/>
          <w:bCs w:val="false"/>
          <w:i w:val="false"/>
          <w:iCs w:val="false"/>
          <w:color w:val="3d3d3a"/>
          <w:sz w:val="22"/>
          <w:szCs w:val="22"/>
        </w:rPr>
        <w:t xml:space="preserve">De gekozen vlakke premie van 20% past binnen het vastgestelde pensioenbudget van € 220.000/jr en sluit aan bij de risicobereidheid 'Neutraal'.</w:t>
      </w:r>
    </w:p>
    <w:p>
      <w:pPr>
        <w:spacing w:before="200" w:after="80"/>
      </w:pPr>
      <w:r>
        <w:rPr>
          <w:rFonts w:ascii="Arial" w:cs="Arial" w:eastAsia="Arial" w:hAnsi="Arial"/>
          <w:b/>
          <w:bCs/>
          <w:color w:val="0f0f0e"/>
          <w:sz w:val="22"/>
          <w:szCs w:val="22"/>
        </w:rPr>
        <w:t xml:space="preserve">Kostenefficiëntie</w:t>
      </w:r>
    </w:p>
    <w:p>
      <w:pPr>
        <w:spacing w:before="60" w:after="80"/>
      </w:pPr>
      <w:r>
        <w:rPr>
          <w:rFonts w:ascii="Arial" w:cs="Arial" w:eastAsia="Arial" w:hAnsi="Arial"/>
          <w:b w:val="false"/>
          <w:bCs w:val="false"/>
          <w:i w:val="false"/>
          <w:iCs w:val="false"/>
          <w:color w:val="3d3d3a"/>
          <w:sz w:val="22"/>
          <w:szCs w:val="22"/>
        </w:rPr>
        <w:t xml:space="preserve">Uitvoeringskosten van 0.28% zijn de laagste van de vergeleken aanbieders en liggen onder het marktgemiddelde van ±0,35%.</w:t>
      </w:r>
    </w:p>
    <w:p>
      <w:pPr>
        <w:spacing w:before="200" w:after="80"/>
      </w:pPr>
      <w:r>
        <w:rPr>
          <w:rFonts w:ascii="Arial" w:cs="Arial" w:eastAsia="Arial" w:hAnsi="Arial"/>
          <w:b/>
          <w:bCs/>
          <w:color w:val="0f0f0e"/>
          <w:sz w:val="22"/>
          <w:szCs w:val="22"/>
        </w:rPr>
        <w:t xml:space="preserve">Werknemerscommunicatie</w:t>
      </w:r>
    </w:p>
    <w:p>
      <w:pPr>
        <w:spacing w:before="60" w:after="80"/>
      </w:pPr>
      <w:r>
        <w:rPr>
          <w:rFonts w:ascii="Arial" w:cs="Arial" w:eastAsia="Arial" w:hAnsi="Arial"/>
          <w:b w:val="false"/>
          <w:bCs w:val="false"/>
          <w:i w:val="false"/>
          <w:iCs w:val="false"/>
          <w:color w:val="3d3d3a"/>
          <w:sz w:val="22"/>
          <w:szCs w:val="22"/>
        </w:rPr>
        <w:t xml:space="preserve">Nationale-Nederlanden biedt een volledig digitaal keuzebegeleiding-portaal, wat aansluit bij de Wtp-verplichting voor keuzebegeleiding (art. 48a Pw).</w:t>
      </w:r>
    </w:p>
    <w:p>
      <w:pPr>
        <w:spacing w:before="200" w:after="80"/>
      </w:pPr>
      <w:r>
        <w:rPr>
          <w:rFonts w:ascii="Arial" w:cs="Arial" w:eastAsia="Arial" w:hAnsi="Arial"/>
          <w:b/>
          <w:bCs/>
          <w:color w:val="0f0f0e"/>
          <w:sz w:val="22"/>
          <w:szCs w:val="22"/>
        </w:rPr>
        <w:t xml:space="preserve">Nabestaandenpensioen</w:t>
      </w:r>
    </w:p>
    <w:p>
      <w:pPr>
        <w:spacing w:before="60" w:after="80"/>
      </w:pPr>
      <w:r>
        <w:rPr>
          <w:rFonts w:ascii="Arial" w:cs="Arial" w:eastAsia="Arial" w:hAnsi="Arial"/>
          <w:b w:val="false"/>
          <w:bCs w:val="false"/>
          <w:i w:val="false"/>
          <w:iCs w:val="false"/>
          <w:color w:val="3d3d3a"/>
          <w:sz w:val="22"/>
          <w:szCs w:val="22"/>
        </w:rPr>
        <w:t xml:space="preserve">ANW-volgend nabestaandenpensioen is inbegrepen, conform de doelstelling van de werkgever.</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8. Afgewezen alternatieven</w:t>
      </w:r>
    </w:p>
    <w:p>
      <w:pPr>
        <w:spacing w:before="60" w:after="80"/>
      </w:pPr>
      <w:r>
        <w:rPr>
          <w:rFonts w:ascii="Arial" w:cs="Arial" w:eastAsia="Arial" w:hAnsi="Arial"/>
          <w:b w:val="false"/>
          <w:bCs w:val="false"/>
          <w:i w:val="false"/>
          <w:iCs w:val="false"/>
          <w:color w:val="3d3d3a"/>
          <w:sz w:val="22"/>
          <w:szCs w:val="22"/>
        </w:rPr>
        <w:t xml:space="preserve">Op grond van de AFM-richtlijn inzake productvergelijking worden de redenen voor het niet-adviseren van de overige aanbieders hieronder gedocumenteerd.</w:t>
      </w:r>
    </w:p>
    <w:p>
      <w:pPr>
        <w:spacing w:before="80" w:after="80"/>
      </w:pPr>
      <w:r>
        <w:t xml:space="preserve"/>
      </w:r>
    </w:p>
    <w:p>
      <w:pPr>
        <w:spacing w:before="200" w:after="80"/>
      </w:pPr>
      <w:r>
        <w:rPr>
          <w:rFonts w:ascii="Arial" w:cs="Arial" w:eastAsia="Arial" w:hAnsi="Arial"/>
          <w:b/>
          <w:bCs/>
          <w:color w:val="0f0f0e"/>
          <w:sz w:val="22"/>
          <w:szCs w:val="22"/>
        </w:rPr>
        <w:t xml:space="preserve">ASR — score 74/100</w:t>
      </w:r>
    </w:p>
    <w:p>
      <w:pPr>
        <w:spacing w:before="60" w:after="80"/>
      </w:pPr>
      <w:r>
        <w:rPr>
          <w:rFonts w:ascii="Arial" w:cs="Arial" w:eastAsia="Arial" w:hAnsi="Arial"/>
          <w:b w:val="false"/>
          <w:bCs w:val="false"/>
          <w:i w:val="false"/>
          <w:iCs w:val="false"/>
          <w:color w:val="3d3d3a"/>
          <w:sz w:val="22"/>
          <w:szCs w:val="22"/>
        </w:rPr>
        <w:t xml:space="preserve">Reden niet gekozen: Hogere uitvoeringskosten (0,31% vs 0,28%)</w:t>
      </w:r>
    </w:p>
    <w:p>
      <w:pPr>
        <w:spacing w:before="50" w:after="50"/>
      </w:pPr>
      <w:r>
        <w:rPr>
          <w:rFonts w:ascii="Arial" w:cs="Arial" w:eastAsia="Arial" w:hAnsi="Arial"/>
          <w:b/>
          <w:bCs/>
          <w:color w:val="6b6b67"/>
          <w:sz w:val="20"/>
          <w:szCs w:val="20"/>
        </w:rPr>
        <w:t xml:space="preserve">Premie:  </w:t>
      </w:r>
      <w:r>
        <w:rPr>
          <w:rFonts w:ascii="Arial" w:cs="Arial" w:eastAsia="Arial" w:hAnsi="Arial"/>
          <w:color w:val="3d3d3a"/>
          <w:sz w:val="20"/>
          <w:szCs w:val="20"/>
        </w:rPr>
        <w:t xml:space="preserve">20.1%</w:t>
      </w:r>
    </w:p>
    <w:p>
      <w:pPr>
        <w:spacing w:before="50" w:after="50"/>
      </w:pPr>
      <w:r>
        <w:rPr>
          <w:rFonts w:ascii="Arial" w:cs="Arial" w:eastAsia="Arial" w:hAnsi="Arial"/>
          <w:b/>
          <w:bCs/>
          <w:color w:val="6b6b67"/>
          <w:sz w:val="20"/>
          <w:szCs w:val="20"/>
        </w:rPr>
        <w:t xml:space="preserve">Score:  </w:t>
      </w:r>
      <w:r>
        <w:rPr>
          <w:rFonts w:ascii="Arial" w:cs="Arial" w:eastAsia="Arial" w:hAnsi="Arial"/>
          <w:color w:val="3d3d3a"/>
          <w:sz w:val="20"/>
          <w:szCs w:val="20"/>
        </w:rPr>
        <w:t xml:space="preserve">74/100 (winnaar: 82/100)</w:t>
      </w:r>
    </w:p>
    <w:p>
      <w:pPr>
        <w:spacing w:before="80" w:after="80"/>
      </w:pPr>
      <w:r>
        <w:t xml:space="preserve"/>
      </w:r>
    </w:p>
    <w:p>
      <w:pPr>
        <w:spacing w:before="200" w:after="80"/>
      </w:pPr>
      <w:r>
        <w:rPr>
          <w:rFonts w:ascii="Arial" w:cs="Arial" w:eastAsia="Arial" w:hAnsi="Arial"/>
          <w:b/>
          <w:bCs/>
          <w:color w:val="0f0f0e"/>
          <w:sz w:val="22"/>
          <w:szCs w:val="22"/>
        </w:rPr>
        <w:t xml:space="preserve">Centraal Beheer — score 68/100</w:t>
      </w:r>
    </w:p>
    <w:p>
      <w:pPr>
        <w:spacing w:before="60" w:after="80"/>
      </w:pPr>
      <w:r>
        <w:rPr>
          <w:rFonts w:ascii="Arial" w:cs="Arial" w:eastAsia="Arial" w:hAnsi="Arial"/>
          <w:b w:val="false"/>
          <w:bCs w:val="false"/>
          <w:i w:val="false"/>
          <w:iCs w:val="false"/>
          <w:color w:val="3d3d3a"/>
          <w:sz w:val="22"/>
          <w:szCs w:val="22"/>
        </w:rPr>
        <w:t xml:space="preserve">Reden niet gekozen: Beperkte keuzebegeleiding voor werknemers</w:t>
      </w:r>
    </w:p>
    <w:p>
      <w:pPr>
        <w:spacing w:before="50" w:after="50"/>
      </w:pPr>
      <w:r>
        <w:rPr>
          <w:rFonts w:ascii="Arial" w:cs="Arial" w:eastAsia="Arial" w:hAnsi="Arial"/>
          <w:b/>
          <w:bCs/>
          <w:color w:val="6b6b67"/>
          <w:sz w:val="20"/>
          <w:szCs w:val="20"/>
        </w:rPr>
        <w:t xml:space="preserve">Premie:  </w:t>
      </w:r>
      <w:r>
        <w:rPr>
          <w:rFonts w:ascii="Arial" w:cs="Arial" w:eastAsia="Arial" w:hAnsi="Arial"/>
          <w:color w:val="3d3d3a"/>
          <w:sz w:val="20"/>
          <w:szCs w:val="20"/>
        </w:rPr>
        <w:t xml:space="preserve">19.8%</w:t>
      </w:r>
    </w:p>
    <w:p>
      <w:pPr>
        <w:spacing w:before="50" w:after="50"/>
      </w:pPr>
      <w:r>
        <w:rPr>
          <w:rFonts w:ascii="Arial" w:cs="Arial" w:eastAsia="Arial" w:hAnsi="Arial"/>
          <w:b/>
          <w:bCs/>
          <w:color w:val="6b6b67"/>
          <w:sz w:val="20"/>
          <w:szCs w:val="20"/>
        </w:rPr>
        <w:t xml:space="preserve">Score:  </w:t>
      </w:r>
      <w:r>
        <w:rPr>
          <w:rFonts w:ascii="Arial" w:cs="Arial" w:eastAsia="Arial" w:hAnsi="Arial"/>
          <w:color w:val="3d3d3a"/>
          <w:sz w:val="20"/>
          <w:szCs w:val="20"/>
        </w:rPr>
        <w:t xml:space="preserve">68/100 (winnaar: 82/100)</w:t>
      </w:r>
    </w:p>
    <w:p>
      <w:pPr>
        <w:spacing w:before="80" w:after="80"/>
      </w:pPr>
      <w:r>
        <w:t xml:space="preserve"/>
      </w:r>
    </w:p>
    <w:p>
      <w:pPr>
        <w:spacing w:before="60" w:after="80"/>
      </w:pPr>
      <w:r>
        <w:rPr>
          <w:rFonts w:ascii="Arial" w:cs="Arial" w:eastAsia="Arial" w:hAnsi="Arial"/>
          <w:b w:val="false"/>
          <w:bCs w:val="false"/>
          <w:i/>
          <w:iCs/>
          <w:color w:val="6b6b67"/>
          <w:sz w:val="22"/>
          <w:szCs w:val="22"/>
        </w:rPr>
        <w:t xml:space="preserve">Dit overzicht dient als dossierverantwoording conform AFM-uitvoeringsregeling advisering (Bgfo art. 80a).</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9. Beleggingsbeleid &amp; Lifecycles</w:t>
      </w:r>
    </w:p>
    <w:p>
      <w:pPr>
        <w:pStyle w:val="Heading2"/>
        <w:spacing w:before="280" w:after="120"/>
      </w:pPr>
      <w:r>
        <w:rPr>
          <w:rFonts w:ascii="Arial" w:cs="Arial" w:eastAsia="Arial" w:hAnsi="Arial"/>
          <w:b/>
          <w:bCs/>
          <w:color w:val="1d9e75"/>
          <w:sz w:val="24"/>
          <w:szCs w:val="24"/>
        </w:rPr>
        <w:t xml:space="preserve">9.1 Gekozen lifecycle</w:t>
      </w:r>
    </w:p>
    <w:p>
      <w:pPr>
        <w:spacing w:before="50" w:after="50"/>
      </w:pPr>
      <w:r>
        <w:rPr>
          <w:rFonts w:ascii="Arial" w:cs="Arial" w:eastAsia="Arial" w:hAnsi="Arial"/>
          <w:b/>
          <w:bCs/>
          <w:color w:val="6b6b67"/>
          <w:sz w:val="20"/>
          <w:szCs w:val="20"/>
        </w:rPr>
        <w:t xml:space="preserve">Aanbieder:  </w:t>
      </w:r>
      <w:r>
        <w:rPr>
          <w:rFonts w:ascii="Arial" w:cs="Arial" w:eastAsia="Arial" w:hAnsi="Arial"/>
          <w:color w:val="3d3d3a"/>
          <w:sz w:val="20"/>
          <w:szCs w:val="20"/>
        </w:rPr>
        <w:t xml:space="preserve">Nationale-Nederlanden</w:t>
      </w:r>
    </w:p>
    <w:p>
      <w:pPr>
        <w:spacing w:before="50" w:after="50"/>
      </w:pPr>
      <w:r>
        <w:rPr>
          <w:rFonts w:ascii="Arial" w:cs="Arial" w:eastAsia="Arial" w:hAnsi="Arial"/>
          <w:b/>
          <w:bCs/>
          <w:color w:val="6b6b67"/>
          <w:sz w:val="20"/>
          <w:szCs w:val="20"/>
        </w:rPr>
        <w:t xml:space="preserve">Lifecycle:  </w:t>
      </w:r>
      <w:r>
        <w:rPr>
          <w:rFonts w:ascii="Arial" w:cs="Arial" w:eastAsia="Arial" w:hAnsi="Arial"/>
          <w:color w:val="3d3d3a"/>
          <w:sz w:val="20"/>
          <w:szCs w:val="20"/>
        </w:rPr>
        <w:t xml:space="preserve">Neutraal lifecycle</w:t>
      </w:r>
    </w:p>
    <w:p>
      <w:pPr>
        <w:spacing w:before="50" w:after="50"/>
      </w:pPr>
      <w:r>
        <w:rPr>
          <w:rFonts w:ascii="Arial" w:cs="Arial" w:eastAsia="Arial" w:hAnsi="Arial"/>
          <w:b/>
          <w:bCs/>
          <w:color w:val="6b6b67"/>
          <w:sz w:val="20"/>
          <w:szCs w:val="20"/>
        </w:rPr>
        <w:t xml:space="preserve">Zakelijke waarden op leeftijd 45:  </w:t>
      </w:r>
      <w:r>
        <w:rPr>
          <w:rFonts w:ascii="Arial" w:cs="Arial" w:eastAsia="Arial" w:hAnsi="Arial"/>
          <w:color w:val="3d3d3a"/>
          <w:sz w:val="20"/>
          <w:szCs w:val="20"/>
        </w:rPr>
        <w:t xml:space="preserve">52%</w:t>
      </w:r>
    </w:p>
    <w:p>
      <w:pPr>
        <w:spacing w:before="60" w:after="80"/>
      </w:pPr>
      <w:r>
        <w:rPr>
          <w:rFonts w:ascii="Arial" w:cs="Arial" w:eastAsia="Arial" w:hAnsi="Arial"/>
          <w:b w:val="false"/>
          <w:bCs w:val="false"/>
          <w:i w:val="false"/>
          <w:iCs w:val="false"/>
          <w:color w:val="3d3d3a"/>
          <w:sz w:val="22"/>
          <w:szCs w:val="22"/>
        </w:rPr>
        <w:t xml:space="preserve">De Neutraal lifecycle bouwt de zakelijke waarden geleidelijk af van circa 85% op 25-jarige leeftijd naar 10% op 65-jarige leeftijd. Dit sluit aan bij het vastgestelde risicoprofiel 'Neutraal' van de werkgever.</w:t>
      </w:r>
    </w:p>
    <w:p>
      <w:pPr>
        <w:spacing w:before="80" w:after="80"/>
      </w:pPr>
      <w:r>
        <w:t xml:space="preserve"/>
      </w:r>
    </w:p>
    <w:p>
      <w:pPr>
        <w:pStyle w:val="Heading2"/>
        <w:spacing w:before="280" w:after="120"/>
      </w:pPr>
      <w:r>
        <w:rPr>
          <w:rFonts w:ascii="Arial" w:cs="Arial" w:eastAsia="Arial" w:hAnsi="Arial"/>
          <w:b/>
          <w:bCs/>
          <w:color w:val="1d9e75"/>
          <w:sz w:val="24"/>
          <w:szCs w:val="24"/>
        </w:rPr>
        <w:t xml:space="preserve">9.2 URM-projecties (DNB scenarioset 2026Q1)</w:t>
      </w:r>
    </w:p>
    <w:p>
      <w:pPr>
        <w:spacing w:before="60" w:after="80"/>
      </w:pPr>
      <w:r>
        <w:rPr>
          <w:rFonts w:ascii="Arial" w:cs="Arial" w:eastAsia="Arial" w:hAnsi="Arial"/>
          <w:b w:val="false"/>
          <w:bCs w:val="false"/>
          <w:i w:val="false"/>
          <w:iCs w:val="false"/>
          <w:color w:val="3d3d3a"/>
          <w:sz w:val="22"/>
          <w:szCs w:val="22"/>
        </w:rPr>
        <w:t xml:space="preserve">Onderstaande bedragen zijn gebaseerd op de DNB Uniforme Rekenmethodiek (P50/P5/P95) en dienen uitsluitend ter indicatie. Bedragen zijn exclusief inflatie.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075"/>
        <w:gridCol w:w="2166"/>
        <w:gridCol w:w="2075"/>
      </w:tblGrid>
      <w:tr>
        <w:trPr>
          <w:tblHeader/>
        </w:trPr>
        <w:tc>
          <w:tcPr>
            <w:tcW w:type="dxa" w:w="2256"/>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56"/>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AOW (indicatief)</w:t>
            </w:r>
          </w:p>
        </w:tc>
        <w:tc>
          <w:tcPr>
            <w:tcW w:type="dxa" w:w="2256"/>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2e pijler</w:t>
            </w:r>
          </w:p>
        </w:tc>
        <w:tc>
          <w:tcPr>
            <w:tcW w:type="dxa" w:w="2256"/>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Totaal/mnd</w:t>
            </w:r>
          </w:p>
        </w:tc>
      </w:tr>
      <w:tr>
        <w:trPr>
          <w:tblHeader w:val="false"/>
        </w:trPr>
        <w:tc>
          <w:tcPr>
            <w:tcW w:type="dxa" w:w="2256"/>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Pessimistisch (P5)</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€ 1.400</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€ 1.240</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€ 2.640</w:t>
            </w:r>
          </w:p>
        </w:tc>
      </w:tr>
      <w:tr>
        <w:trPr>
          <w:tblHeader w:val="false"/>
        </w:trPr>
        <w:tc>
          <w:tcPr>
            <w:tcW w:type="dxa" w:w="2256"/>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Verwacht (P50)</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€ 1.400</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€ 1.680</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€ 3.080</w:t>
            </w:r>
          </w:p>
        </w:tc>
      </w:tr>
      <w:tr>
        <w:trPr>
          <w:tblHeader w:val="false"/>
        </w:trPr>
        <w:tc>
          <w:tcPr>
            <w:tcW w:type="dxa" w:w="2256"/>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Optimistisch (P95)</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€ 1.400</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€ 2.310</w:t>
            </w:r>
          </w:p>
        </w:tc>
        <w:tc>
          <w:tcPr>
            <w:tcW w:type="dxa" w:w="225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€ 3.710</w:t>
            </w:r>
          </w:p>
        </w:tc>
      </w:tr>
    </w:tbl>
    <w:p>
      <w:pPr>
        <w:spacing w:before="80" w:after="80"/>
      </w:pPr>
      <w:r>
        <w:t xml:space="preserve"/>
      </w:r>
    </w:p>
    <w:p>
      <w:pPr>
        <w:spacing w:before="60" w:after="80"/>
      </w:pPr>
      <w:r>
        <w:rPr>
          <w:rFonts w:ascii="Arial" w:cs="Arial" w:eastAsia="Arial" w:hAnsi="Arial"/>
          <w:b/>
          <w:bCs/>
          <w:i w:val="false"/>
          <w:iCs w:val="false"/>
          <w:color w:val="3d3d3a"/>
          <w:sz w:val="22"/>
          <w:szCs w:val="22"/>
        </w:rPr>
        <w:t xml:space="preserve">Doelstelling werkgever: 70% van huidig salaris = € 3.033/mnd. Het verwachte scenario (P50) van € 3.080/mnd overtreft deze doelstelling.</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10. Financiële impact voor de werkgever</w:t>
      </w:r>
    </w:p>
    <w:p>
      <w:pPr>
        <w:pStyle w:val="Heading2"/>
        <w:spacing w:before="280" w:after="120"/>
      </w:pPr>
      <w:r>
        <w:rPr>
          <w:rFonts w:ascii="Arial" w:cs="Arial" w:eastAsia="Arial" w:hAnsi="Arial"/>
          <w:b/>
          <w:bCs/>
          <w:color w:val="1d9e75"/>
          <w:sz w:val="24"/>
          <w:szCs w:val="24"/>
        </w:rPr>
        <w:t xml:space="preserve">10.1 Premielasten nieuwe regeling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4513"/>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Bedrag/jaar</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Huidig pensioenbudget</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€ 195.000</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Nieuw budget (vlakke premie)</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€ 569.985</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Verschil</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€ 374.985</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Budget prognose 5 jr</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€ 220.000</w:t>
            </w:r>
          </w:p>
        </w:tc>
      </w:tr>
      <w:tr>
        <w:trPr>
          <w:tblHeader w:val="false"/>
        </w:trPr>
        <w:tc>
          <w:tcPr>
            <w:tcW w:type="dxa" w:w="4513"/>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Compensatielast per jaar</w:t>
            </w:r>
          </w:p>
        </w:tc>
        <w:tc>
          <w:tcPr>
            <w:tcW w:type="dxa" w:w="4513"/>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€ 28.400</w:t>
            </w:r>
          </w:p>
        </w:tc>
      </w:tr>
    </w:tbl>
    <w:p>
      <w:pPr>
        <w:spacing w:before="80" w:after="80"/>
      </w:pPr>
      <w:r>
        <w:t xml:space="preserve"/>
      </w:r>
    </w:p>
    <w:p>
      <w:pPr>
        <w:pStyle w:val="Heading2"/>
        <w:spacing w:before="280" w:after="120"/>
      </w:pPr>
      <w:r>
        <w:rPr>
          <w:rFonts w:ascii="Arial" w:cs="Arial" w:eastAsia="Arial" w:hAnsi="Arial"/>
          <w:b/>
          <w:bCs/>
          <w:color w:val="1d9e75"/>
          <w:sz w:val="24"/>
          <w:szCs w:val="24"/>
        </w:rPr>
        <w:t xml:space="preserve">10.2 Vergelijking met budget</w:t>
      </w:r>
    </w:p>
    <w:p>
      <w:pPr>
        <w:spacing w:before="60" w:after="80"/>
      </w:pPr>
      <w:r>
        <w:rPr>
          <w:rFonts w:ascii="Arial" w:cs="Arial" w:eastAsia="Arial" w:hAnsi="Arial"/>
          <w:b w:val="false"/>
          <w:bCs w:val="false"/>
          <w:i w:val="false"/>
          <w:iCs w:val="false"/>
          <w:color w:val="3d3d3a"/>
          <w:sz w:val="22"/>
          <w:szCs w:val="22"/>
        </w:rPr>
        <w:t xml:space="preserve">Het totale jaarkostenplaatje van de nieuwe regeling (premie + compensatie) bedraagt € 598.385/jr, vergeleken met het beschikbare budget van € 220.000/jr. Dit laat een marge van € -378.385 per jaar.</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11. Communicatieplan</w:t>
      </w:r>
    </w:p>
    <w:p>
      <w:pPr>
        <w:spacing w:before="60" w:after="80"/>
      </w:pPr>
      <w:r>
        <w:rPr>
          <w:rFonts w:ascii="Arial" w:cs="Arial" w:eastAsia="Arial" w:hAnsi="Arial"/>
          <w:b w:val="false"/>
          <w:bCs w:val="false"/>
          <w:i w:val="false"/>
          <w:iCs w:val="false"/>
          <w:color w:val="3d3d3a"/>
          <w:sz w:val="22"/>
          <w:szCs w:val="22"/>
        </w:rPr>
        <w:t xml:space="preserve">De Wtp verplicht de werkgever tot tijdige en evenwichtige communicatie met werknemers over de pensioenwijziging (art. 48a Pensioenwet). Onderstaand de geadviseerde tijdlijn.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4513"/>
      </w:tblGrid>
      <w:tr>
        <w:trPr>
          <w:tblHeader/>
        </w:trPr>
        <w:tc>
          <w:tcPr>
            <w:tcW w:type="dxa" w:w="3008"/>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Wanneer</w:t>
            </w:r>
          </w:p>
        </w:tc>
        <w:tc>
          <w:tcPr>
            <w:tcW w:type="dxa" w:w="3008"/>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3008"/>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Q2 2026</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Eerste informatiebrief</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Aankondiging pensioenwijziging, uitleg Wtp-context, tijdlijn</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Q3 2026</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Individueel overzicht</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Persoonlijk transitie-overzicht: oud vs. nieuw pensioen per werknemer</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Q4 2026</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Keuzebegeleiding open</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Werknemersportaal live, vragen beantwoorden, keuze lifecycle</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Q1 2027</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OR/PVT instemming</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Formele instemmingsprocedure (indien van toepassing)</w:t>
            </w:r>
          </w:p>
        </w:tc>
      </w:tr>
      <w:tr>
        <w:trPr>
          <w:tblHeader w:val="false"/>
        </w:trPr>
        <w:tc>
          <w:tcPr>
            <w:tcW w:type="dxa" w:w="3008"/>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2"/>
                <w:szCs w:val="22"/>
              </w:rPr>
              <w:t xml:space="preserve">Q2 2027</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Implementatie</w:t>
            </w:r>
          </w:p>
        </w:tc>
        <w:tc>
          <w:tcPr>
            <w:tcW w:type="dxa" w:w="3008"/>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2"/>
                <w:szCs w:val="22"/>
              </w:rPr>
              <w:t xml:space="preserve">Nieuwe regeling ingaat, werknemers ontvangen bevestiging</w:t>
            </w:r>
          </w:p>
        </w:tc>
      </w:tr>
    </w:tbl>
    <w:p>
      <w:pPr>
        <w:spacing w:before="80" w:after="80"/>
      </w:pPr>
      <w:r>
        <w:t xml:space="preserve"/>
      </w:r>
    </w:p>
    <w:p>
      <w:pPr>
        <w:spacing w:before="60" w:after="80"/>
      </w:pPr>
      <w:r>
        <w:rPr>
          <w:rFonts w:ascii="Arial" w:cs="Arial" w:eastAsia="Arial" w:hAnsi="Arial"/>
          <w:b w:val="false"/>
          <w:bCs w:val="false"/>
          <w:i/>
          <w:iCs/>
          <w:color w:val="6b6b67"/>
          <w:sz w:val="22"/>
          <w:szCs w:val="22"/>
        </w:rPr>
        <w:t xml:space="preserve">De adviseur begeleidt de werkgever bij het opstellen van de communicatiematerialen via de AdviesFocus BriefTool.</w:t>
      </w:r>
    </w:p>
    <w:p>
      <w:pPr>
        <w:pageBreakBefore/>
      </w:pPr>
      <w:r>
        <w:br/>
      </w:r>
    </w:p>
    <w:p>
      <w:pPr>
        <w:pStyle w:val="Heading1"/>
        <w:pBdr>
          <w:bottom w:val="single" w:color="1d9e75" w:sz="3" w:space="6"/>
        </w:pBdr>
        <w:spacing w:before="400" w:after="160"/>
      </w:pPr>
      <w:r>
        <w:rPr>
          <w:rFonts w:ascii="Arial" w:cs="Arial" w:eastAsia="Arial" w:hAnsi="Arial"/>
          <w:b/>
          <w:bCs/>
          <w:color w:val="0f0f0e"/>
          <w:sz w:val="30"/>
          <w:szCs w:val="30"/>
        </w:rPr>
        <w:t xml:space="preserve">12. Bijlagen</w:t>
      </w:r>
    </w:p>
    <w:p>
      <w:pPr>
        <w:pStyle w:val="Heading2"/>
        <w:spacing w:before="280" w:after="120"/>
      </w:pPr>
      <w:r>
        <w:rPr>
          <w:rFonts w:ascii="Arial" w:cs="Arial" w:eastAsia="Arial" w:hAnsi="Arial"/>
          <w:b/>
          <w:bCs/>
          <w:color w:val="1d9e75"/>
          <w:sz w:val="24"/>
          <w:szCs w:val="24"/>
        </w:rPr>
        <w:t xml:space="preserve">12.1 Disclaimers</w:t>
      </w:r>
    </w:p>
    <w:p>
      <w:pPr>
        <w:spacing w:before="60" w:after="80"/>
      </w:pPr>
      <w:r>
        <w:rPr>
          <w:rFonts w:ascii="Arial" w:cs="Arial" w:eastAsia="Arial" w:hAnsi="Arial"/>
          <w:b w:val="false"/>
          <w:bCs w:val="false"/>
          <w:i w:val="false"/>
          <w:iCs w:val="false"/>
          <w:color w:val="3d3d3a"/>
          <w:sz w:val="22"/>
          <w:szCs w:val="22"/>
        </w:rPr>
        <w:t xml:space="preserve">De in dit advies genoemde bedragen zijn indicatief en gebaseerd op de op het moment van advisering beschikbare informatie. Pensioenuitkomsten zijn onzeker en afhankelijk van beleggingsrendementen, renteontwikkelingen en persoonlijke omstandigheden.</w:t>
      </w:r>
    </w:p>
    <w:p>
      <w:pPr>
        <w:spacing w:before="80" w:after="80"/>
      </w:pPr>
      <w:r>
        <w:t xml:space="preserve"/>
      </w:r>
    </w:p>
    <w:p>
      <w:pPr>
        <w:spacing w:before="60" w:after="80"/>
      </w:pPr>
      <w:r>
        <w:rPr>
          <w:rFonts w:ascii="Arial" w:cs="Arial" w:eastAsia="Arial" w:hAnsi="Arial"/>
          <w:b w:val="false"/>
          <w:bCs w:val="false"/>
          <w:i w:val="false"/>
          <w:iCs w:val="false"/>
          <w:color w:val="3d3d3a"/>
          <w:sz w:val="22"/>
          <w:szCs w:val="22"/>
        </w:rPr>
        <w:t xml:space="preserve">De URM-projecties zijn berekend conform de DNB Uniforme Rekenmethodiek en gebruiken de P-scenarioset 2026Q1 (20.000 economische scenario's). De gepresenteerde bedragen zijn bruto en inclusief AOW-indicatie.</w:t>
      </w:r>
    </w:p>
    <w:p>
      <w:pPr>
        <w:spacing w:before="80" w:after="80"/>
      </w:pPr>
      <w:r>
        <w:t xml:space="preserve"/>
      </w:r>
    </w:p>
    <w:p>
      <w:pPr>
        <w:pStyle w:val="Heading2"/>
        <w:spacing w:before="280" w:after="120"/>
      </w:pPr>
      <w:r>
        <w:rPr>
          <w:rFonts w:ascii="Arial" w:cs="Arial" w:eastAsia="Arial" w:hAnsi="Arial"/>
          <w:b/>
          <w:bCs/>
          <w:color w:val="1d9e75"/>
          <w:sz w:val="24"/>
          <w:szCs w:val="24"/>
        </w:rPr>
        <w:t xml:space="preserve">12.2 Bronverwijzingen</w:t>
      </w:r>
    </w:p>
    <w:p>
      <w:pPr>
        <w:spacing w:before="50" w:after="50"/>
      </w:pPr>
      <w:r>
        <w:rPr>
          <w:rFonts w:ascii="Arial" w:cs="Arial" w:eastAsia="Arial" w:hAnsi="Arial"/>
          <w:b/>
          <w:bCs/>
          <w:color w:val="6b6b67"/>
          <w:sz w:val="20"/>
          <w:szCs w:val="20"/>
        </w:rPr>
        <w:t xml:space="preserve">Wet toekomst pensioenen (Wtp):  </w:t>
      </w:r>
      <w:r>
        <w:rPr>
          <w:rFonts w:ascii="Arial" w:cs="Arial" w:eastAsia="Arial" w:hAnsi="Arial"/>
          <w:color w:val="3d3d3a"/>
          <w:sz w:val="20"/>
          <w:szCs w:val="20"/>
        </w:rPr>
        <w:t xml:space="preserve">Staatsblad 2023, nr. 138</w:t>
      </w:r>
    </w:p>
    <w:p>
      <w:pPr>
        <w:spacing w:before="50" w:after="50"/>
      </w:pPr>
      <w:r>
        <w:rPr>
          <w:rFonts w:ascii="Arial" w:cs="Arial" w:eastAsia="Arial" w:hAnsi="Arial"/>
          <w:b/>
          <w:bCs/>
          <w:color w:val="6b6b67"/>
          <w:sz w:val="20"/>
          <w:szCs w:val="20"/>
        </w:rPr>
        <w:t xml:space="preserve">Wft artikel 4:23:  </w:t>
      </w:r>
      <w:r>
        <w:rPr>
          <w:rFonts w:ascii="Arial" w:cs="Arial" w:eastAsia="Arial" w:hAnsi="Arial"/>
          <w:color w:val="3d3d3a"/>
          <w:sz w:val="20"/>
          <w:szCs w:val="20"/>
        </w:rPr>
        <w:t xml:space="preserve">Zorgplicht adviseur</w:t>
      </w:r>
    </w:p>
    <w:p>
      <w:pPr>
        <w:spacing w:before="50" w:after="50"/>
      </w:pPr>
      <w:r>
        <w:rPr>
          <w:rFonts w:ascii="Arial" w:cs="Arial" w:eastAsia="Arial" w:hAnsi="Arial"/>
          <w:b/>
          <w:bCs/>
          <w:color w:val="6b6b67"/>
          <w:sz w:val="20"/>
          <w:szCs w:val="20"/>
        </w:rPr>
        <w:t xml:space="preserve">Besluit uitvoering Pw en Wvb:  </w:t>
      </w:r>
      <w:r>
        <w:rPr>
          <w:rFonts w:ascii="Arial" w:cs="Arial" w:eastAsia="Arial" w:hAnsi="Arial"/>
          <w:color w:val="3d3d3a"/>
          <w:sz w:val="20"/>
          <w:szCs w:val="20"/>
        </w:rPr>
        <w:t xml:space="preserve">Art. 46c, lid 2 — URM 10.000 scenario's</w:t>
      </w:r>
    </w:p>
    <w:p>
      <w:pPr>
        <w:spacing w:before="50" w:after="50"/>
      </w:pPr>
      <w:r>
        <w:rPr>
          <w:rFonts w:ascii="Arial" w:cs="Arial" w:eastAsia="Arial" w:hAnsi="Arial"/>
          <w:b/>
          <w:bCs/>
          <w:color w:val="6b6b67"/>
          <w:sz w:val="20"/>
          <w:szCs w:val="20"/>
        </w:rPr>
        <w:t xml:space="preserve">DNB Scenarioset:  </w:t>
      </w:r>
      <w:r>
        <w:rPr>
          <w:rFonts w:ascii="Arial" w:cs="Arial" w:eastAsia="Arial" w:hAnsi="Arial"/>
          <w:color w:val="3d3d3a"/>
          <w:sz w:val="20"/>
          <w:szCs w:val="20"/>
        </w:rPr>
        <w:t xml:space="preserve">CP2022 P-scenarioset 20K 2026Q1 (15 januari 2026)</w:t>
      </w:r>
    </w:p>
    <w:p>
      <w:pPr>
        <w:spacing w:before="50" w:after="50"/>
      </w:pPr>
      <w:r>
        <w:rPr>
          <w:rFonts w:ascii="Arial" w:cs="Arial" w:eastAsia="Arial" w:hAnsi="Arial"/>
          <w:b/>
          <w:bCs/>
          <w:color w:val="6b6b67"/>
          <w:sz w:val="20"/>
          <w:szCs w:val="20"/>
        </w:rPr>
        <w:t xml:space="preserve">Commissie Parameters 2022:  </w:t>
      </w:r>
      <w:r>
        <w:rPr>
          <w:rFonts w:ascii="Arial" w:cs="Arial" w:eastAsia="Arial" w:hAnsi="Arial"/>
          <w:color w:val="3d3d3a"/>
          <w:sz w:val="20"/>
          <w:szCs w:val="20"/>
        </w:rPr>
        <w:t xml:space="preserve">Advies parameterset pensioenfondsen</w:t>
      </w:r>
    </w:p>
    <w:p>
      <w:pPr>
        <w:spacing w:before="50" w:after="50"/>
      </w:pPr>
      <w:r>
        <w:rPr>
          <w:rFonts w:ascii="Arial" w:cs="Arial" w:eastAsia="Arial" w:hAnsi="Arial"/>
          <w:b/>
          <w:bCs/>
          <w:color w:val="6b6b67"/>
          <w:sz w:val="20"/>
          <w:szCs w:val="20"/>
        </w:rPr>
        <w:t xml:space="preserve">AFM Bgfo art. 80a:  </w:t>
      </w:r>
      <w:r>
        <w:rPr>
          <w:rFonts w:ascii="Arial" w:cs="Arial" w:eastAsia="Arial" w:hAnsi="Arial"/>
          <w:color w:val="3d3d3a"/>
          <w:sz w:val="20"/>
          <w:szCs w:val="20"/>
        </w:rPr>
        <w:t xml:space="preserve">Documentatievereisten productvergelijking</w:t>
      </w:r>
    </w:p>
    <w:p>
      <w:pPr>
        <w:spacing w:before="80" w:after="80"/>
      </w:pPr>
      <w:r>
        <w:t xml:space="preserve"/>
      </w:r>
    </w:p>
    <w:p>
      <w:pPr>
        <w:pStyle w:val="Heading2"/>
        <w:spacing w:before="280" w:after="120"/>
      </w:pPr>
      <w:r>
        <w:rPr>
          <w:rFonts w:ascii="Arial" w:cs="Arial" w:eastAsia="Arial" w:hAnsi="Arial"/>
          <w:b/>
          <w:bCs/>
          <w:color w:val="1d9e75"/>
          <w:sz w:val="24"/>
          <w:szCs w:val="24"/>
        </w:rPr>
        <w:t xml:space="preserve">12.3 Documentgegevens</w:t>
      </w:r>
    </w:p>
    <w:p>
      <w:pPr>
        <w:spacing w:before="50" w:after="50"/>
      </w:pPr>
      <w:r>
        <w:rPr>
          <w:rFonts w:ascii="Arial" w:cs="Arial" w:eastAsia="Arial" w:hAnsi="Arial"/>
          <w:b/>
          <w:bCs/>
          <w:color w:val="6b6b67"/>
          <w:sz w:val="20"/>
          <w:szCs w:val="20"/>
        </w:rPr>
        <w:t xml:space="preserve">Trace-ID:  </w:t>
      </w:r>
      <w:r>
        <w:rPr>
          <w:rFonts w:ascii="Arial" w:cs="Arial" w:eastAsia="Arial" w:hAnsi="Arial"/>
          <w:color w:val="3d3d3a"/>
          <w:sz w:val="20"/>
          <w:szCs w:val="20"/>
        </w:rPr>
        <w:t xml:space="preserve">AF-2026-0328-OT-001</w:t>
      </w:r>
    </w:p>
    <w:p>
      <w:pPr>
        <w:spacing w:before="50" w:after="50"/>
      </w:pPr>
      <w:r>
        <w:rPr>
          <w:rFonts w:ascii="Arial" w:cs="Arial" w:eastAsia="Arial" w:hAnsi="Arial"/>
          <w:b/>
          <w:bCs/>
          <w:color w:val="6b6b67"/>
          <w:sz w:val="20"/>
          <w:szCs w:val="20"/>
        </w:rPr>
        <w:t xml:space="preserve">Gegenereerd door:  </w:t>
      </w:r>
      <w:r>
        <w:rPr>
          <w:rFonts w:ascii="Arial" w:cs="Arial" w:eastAsia="Arial" w:hAnsi="Arial"/>
          <w:color w:val="3d3d3a"/>
          <w:sz w:val="20"/>
          <w:szCs w:val="20"/>
        </w:rPr>
        <w:t xml:space="preserve">AdviesFocus v5 — adviesrapport module</w:t>
      </w:r>
    </w:p>
    <w:p>
      <w:pPr>
        <w:spacing w:before="50" w:after="50"/>
      </w:pPr>
      <w:r>
        <w:rPr>
          <w:rFonts w:ascii="Arial" w:cs="Arial" w:eastAsia="Arial" w:hAnsi="Arial"/>
          <w:b/>
          <w:bCs/>
          <w:color w:val="6b6b67"/>
          <w:sz w:val="20"/>
          <w:szCs w:val="20"/>
        </w:rPr>
        <w:t xml:space="preserve">Datum:  </w:t>
      </w:r>
      <w:r>
        <w:rPr>
          <w:rFonts w:ascii="Arial" w:cs="Arial" w:eastAsia="Arial" w:hAnsi="Arial"/>
          <w:color w:val="3d3d3a"/>
          <w:sz w:val="20"/>
          <w:szCs w:val="20"/>
        </w:rPr>
        <w:t xml:space="preserve">28 maart 2026</w:t>
      </w:r>
    </w:p>
    <w:p>
      <w:pPr>
        <w:spacing w:before="50" w:after="50"/>
      </w:pPr>
      <w:r>
        <w:rPr>
          <w:rFonts w:ascii="Arial" w:cs="Arial" w:eastAsia="Arial" w:hAnsi="Arial"/>
          <w:b/>
          <w:bCs/>
          <w:color w:val="6b6b67"/>
          <w:sz w:val="20"/>
          <w:szCs w:val="20"/>
        </w:rPr>
        <w:t xml:space="preserve">Adviseur:  </w:t>
      </w:r>
      <w:r>
        <w:rPr>
          <w:rFonts w:ascii="Arial" w:cs="Arial" w:eastAsia="Arial" w:hAnsi="Arial"/>
          <w:color w:val="3d3d3a"/>
          <w:sz w:val="20"/>
          <w:szCs w:val="20"/>
        </w:rPr>
        <w:t xml:space="preserve">D. Wietzema Menkhorst, Pensioenadvies Menkhorst B.V.</w:t>
      </w:r>
    </w:p>
    <w:p>
      <w:pPr>
        <w:spacing w:before="50" w:after="50"/>
      </w:pPr>
      <w:r>
        <w:rPr>
          <w:rFonts w:ascii="Arial" w:cs="Arial" w:eastAsia="Arial" w:hAnsi="Arial"/>
          <w:b/>
          <w:bCs/>
          <w:color w:val="6b6b67"/>
          <w:sz w:val="20"/>
          <w:szCs w:val="20"/>
        </w:rPr>
        <w:t xml:space="preserve">AFM-nummer:  </w:t>
      </w:r>
      <w:r>
        <w:rPr>
          <w:rFonts w:ascii="Arial" w:cs="Arial" w:eastAsia="Arial" w:hAnsi="Arial"/>
          <w:color w:val="3d3d3a"/>
          <w:sz w:val="20"/>
          <w:szCs w:val="20"/>
        </w:rPr>
        <w:t xml:space="preserve">12345678</w:t>
      </w:r>
    </w:p>
    <w:p>
      <w:pPr>
        <w:spacing w:before="80" w:after="80"/>
      </w:pPr>
      <w:r>
        <w:t xml:space="preserve"/>
      </w:r>
    </w:p>
    <w:p>
      <w:pPr>
        <w:spacing w:before="60" w:after="80"/>
      </w:pPr>
      <w:r>
        <w:rPr>
          <w:rFonts w:ascii="Arial" w:cs="Arial" w:eastAsia="Arial" w:hAnsi="Arial"/>
          <w:b w:val="false"/>
          <w:bCs w:val="false"/>
          <w:i/>
          <w:iCs/>
          <w:color w:val="6b6b67"/>
          <w:sz w:val="22"/>
          <w:szCs w:val="22"/>
        </w:rPr>
        <w:t xml:space="preserve">Dit document is vertrouwelijk en uitsluitend bestemd voor de genoemde werkgever en zijn adviseur.</w:t>
      </w:r>
    </w:p>
    <w:sectPr>
      <w:headerReference w:type="default" r:id="rId6"/>
      <w:footerReference w:type="default" r:id="rId7"/>
      <w:pgSz w:w="11906" w:h="16838" w:orient="portrait"/>
      <w:pgMar w:top="1134" w:right="1134" w:bottom="1134" w:left="141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0d9" w:sz="1" w:space="4"/>
      </w:pBdr>
      <w:jc w:val="center"/>
    </w:pPr>
    <w:r>
      <w:rPr>
        <w:rFonts w:ascii="Arial" w:cs="Arial" w:eastAsia="Arial" w:hAnsi="Arial"/>
        <w:color w:val="6b6b67"/>
        <w:sz w:val="16"/>
        <w:szCs w:val="16"/>
      </w:rPr>
      <w:t xml:space="preserve">Trace-ID: AF-2026-0328-OT-001  ·  Vertrouwelijk  ·  </w:t>
    </w:r>
    <w:r>
      <w:rPr>
        <w:rFonts w:ascii="Arial" w:cs="Arial" w:eastAsia="Arial" w:hAnsi="Arial"/>
        <w:color w:val="6b6b67"/>
        <w:sz w:val="16"/>
        <w:szCs w:val="16"/>
      </w:rPr>
      <w:t xml:space="preserve">Pagina </w:t>
    </w:r>
    <w:r>
      <w:rPr>
        <w:rFonts w:ascii="Arial" w:cs="Arial" w:eastAsia="Arial" w:hAnsi="Arial"/>
        <w:color w:val="6b6b67"/>
        <w:sz w:val="16"/>
        <w:szCs w:val="16"/>
      </w:rPr>
      <w:fldChar w:fldCharType="begin"/>
      <w:instrText xml:space="preserve">PAGE</w:instrText>
      <w:fldChar w:fldCharType="separate"/>
      <w:fldChar w:fldCharType="end"/>
    </w:r>
    <w:r>
      <w:rPr>
        <w:rFonts w:ascii="Arial" w:cs="Arial" w:eastAsia="Arial" w:hAnsi="Arial"/>
        <w:color w:val="6b6b67"/>
        <w:sz w:val="16"/>
        <w:szCs w:val="16"/>
      </w:rPr>
      <w:t xml:space="preserve"> van </w:t>
    </w:r>
    <w:r>
      <w:rPr>
        <w:rFonts w:ascii="Arial" w:cs="Arial" w:eastAsia="Arial" w:hAnsi="Arial"/>
        <w:color w:val="6b6b6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0d9" w:sz="1" w:space="4"/>
      </w:pBdr>
      <w:jc w:val="right"/>
    </w:pPr>
    <w:r>
      <w:rPr>
        <w:rFonts w:ascii="Arial" w:cs="Arial" w:eastAsia="Arial" w:hAnsi="Arial"/>
        <w:color w:val="6b6b67"/>
        <w:sz w:val="18"/>
        <w:szCs w:val="18"/>
      </w:rPr>
      <w:t xml:space="preserve">Pensioenadvies Menkhorst B.V.  ·  </w:t>
    </w:r>
    <w:r>
      <w:rPr>
        <w:rFonts w:ascii="Arial" w:cs="Arial" w:eastAsia="Arial" w:hAnsi="Arial"/>
        <w:b/>
        <w:bCs/>
        <w:color w:val="6b6b67"/>
        <w:sz w:val="18"/>
        <w:szCs w:val="18"/>
      </w:rPr>
      <w:t xml:space="preserve">Pensioenadvies Oranje Techniek B.V.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0f0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2026-03-28T06:49:56.974Z</dcterms:created>
  <dcterms:modified xsi:type="dcterms:W3CDTF">2026-03-28T06:49:56.975Z</dcterms:modified>
</cp:coreProperties>
</file>

<file path=docProps/custom.xml><?xml version="1.0" encoding="utf-8"?>
<Properties xmlns="http://schemas.openxmlformats.org/officeDocument/2006/custom-properties" xmlns:vt="http://schemas.openxmlformats.org/officeDocument/2006/docPropsVTypes"/>
</file>