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i w:val="0"/>
          <w:color w:val="D96816"/>
          <w:sz w:val="22"/>
        </w:rPr>
        <w:t>PRODUCT CONCEPT &amp; REQUIREMENTS</w:t>
      </w:r>
    </w:p>
    <w:p>
      <w:pPr>
        <w:spacing w:after="100"/>
      </w:pPr>
      <w:r>
        <w:rPr>
          <w:rFonts w:ascii="Calibri" w:hAnsi="Calibri"/>
          <w:b/>
          <w:i w:val="0"/>
          <w:color w:val="0E573D"/>
          <w:sz w:val="60"/>
        </w:rPr>
        <w:t>Sunga</w:t>
      </w:r>
    </w:p>
    <w:p>
      <w:pPr>
        <w:spacing w:after="280"/>
      </w:pPr>
      <w:r>
        <w:rPr>
          <w:rFonts w:ascii="Calibri" w:hAnsi="Calibri"/>
          <w:b w:val="0"/>
          <w:i w:val="0"/>
          <w:color w:val="5D6860"/>
          <w:sz w:val="30"/>
        </w:rPr>
        <w:t>An inclusive budgeting, savings and money-tracking companion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0E573D"/>
            <w:vAlign w:val="center"/>
          </w:tcPr>
          <w:p>
            <w:pPr>
              <w:spacing w:after="0"/>
            </w:pPr>
            <w:r>
              <w:rPr>
                <w:rFonts w:ascii="Calibri" w:hAnsi="Calibri"/>
                <w:b/>
                <w:i w:val="0"/>
                <w:color w:val="FFFFFF"/>
                <w:sz w:val="20"/>
              </w:rPr>
              <w:t>Document</w:t>
            </w:r>
          </w:p>
        </w:tc>
        <w:tc>
          <w:tcPr>
            <w:tcW w:type="dxa" w:w="6660"/>
            <w:tcMar>
              <w:top w:w="80" w:type="dxa"/>
              <w:start w:w="120" w:type="dxa"/>
              <w:bottom w:w="80" w:type="dxa"/>
              <w:end w:w="120" w:type="dxa"/>
            </w:tcMar>
            <w:shd w:fill="0E573D"/>
            <w:vAlign w:val="center"/>
          </w:tcPr>
          <w:p>
            <w:pPr>
              <w:spacing w:after="0"/>
            </w:pPr>
            <w:r>
              <w:rPr>
                <w:rFonts w:ascii="Calibri" w:hAnsi="Calibri"/>
                <w:b/>
                <w:i w:val="0"/>
                <w:color w:val="FFFFFF"/>
                <w:sz w:val="20"/>
              </w:rPr>
              <w:t>Definition</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202722"/>
                <w:sz w:val="19"/>
              </w:rPr>
              <w:t>Product position</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202722"/>
                <w:sz w:val="19"/>
              </w:rPr>
              <w:t>Built in Zambia, designed for Africa, useful wherever people manage money.</w:t>
            </w:r>
          </w:p>
        </w:tc>
      </w:tr>
      <w:tr>
        <w:tc>
          <w:tcPr>
            <w:tcW w:type="dxa" w:w="27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Initial model</w:t>
            </w:r>
          </w:p>
        </w:tc>
        <w:tc>
          <w:tcPr>
            <w:tcW w:type="dxa" w:w="66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A manual tracker and adviser. Sunga does not hold, transfer or invest users' money.</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202722"/>
                <w:sz w:val="19"/>
              </w:rPr>
              <w:t>Primary audience</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202722"/>
                <w:sz w:val="19"/>
              </w:rPr>
              <w:t>Adults, families, teenagers and children under age-appropriate guardian arrangements.</w:t>
            </w:r>
          </w:p>
        </w:tc>
      </w:tr>
      <w:tr>
        <w:tc>
          <w:tcPr>
            <w:tcW w:type="dxa" w:w="27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Business model</w:t>
            </w:r>
          </w:p>
        </w:tc>
        <w:tc>
          <w:tcPr>
            <w:tcW w:type="dxa" w:w="66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Strong free plan with a very low-cost optional Premium plan.</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202722"/>
                <w:sz w:val="19"/>
              </w:rPr>
              <w:t>Status</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202722"/>
                <w:sz w:val="19"/>
              </w:rPr>
              <w:t>Complete concept for validation, prototyping and phased implementation.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Core promise: </w:t>
            </w:r>
            <w:r>
              <w:rPr>
                <w:rFonts w:ascii="Calibri" w:hAnsi="Calibri"/>
                <w:b w:val="0"/>
                <w:i w:val="0"/>
                <w:color w:val="202722"/>
                <w:sz w:val="22"/>
              </w:rPr>
              <w:t>Sunga helps people manage the money they actually have, including small and irregular amounts, without judgement or unrealistic assumptions.</w:t>
            </w:r>
          </w:p>
        </w:tc>
        <w:trPr>
          <w:tblHeader/>
        </w:trPr>
      </w:tr>
    </w:tbl>
    <w:p>
      <w:pPr>
        <w:spacing w:after="40"/>
      </w:pPr>
    </w:p>
    <w:p>
      <w:pPr>
        <w:pStyle w:val="Heading1"/>
        <w:keepNext/>
      </w:pPr>
      <w:r>
        <w:rPr>
          <w:rFonts w:ascii="Calibri" w:hAnsi="Calibri"/>
          <w:b/>
          <w:i w:val="0"/>
          <w:color w:val="0E573D"/>
          <w:sz w:val="32"/>
        </w:rPr>
        <w:t>1. Vision and Purpose</w:t>
      </w:r>
    </w:p>
    <w:p>
      <w:pPr>
        <w:spacing w:before="0" w:after="120" w:line="300" w:lineRule="auto"/>
      </w:pPr>
      <w:r>
        <w:rPr>
          <w:rFonts w:ascii="Calibri" w:hAnsi="Calibri"/>
          <w:b w:val="0"/>
          <w:i w:val="0"/>
          <w:color w:val="202722"/>
          <w:sz w:val="22"/>
        </w:rPr>
        <w:t>Most budgeting applications assume a predictable salary, formal bank accounts and enough disposable income to divide neatly. Sunga is designed for real households: people paid through salaries, piecework, farming, small businesses, gifts or several sources at once. It treats K2, K10 and other small amounts as meaningful progress.</w:t>
      </w:r>
    </w:p>
    <w:p>
      <w:pPr>
        <w:spacing w:before="0" w:after="120" w:line="300" w:lineRule="auto"/>
      </w:pPr>
      <w:r>
        <w:rPr>
          <w:rFonts w:ascii="Calibri" w:hAnsi="Calibri"/>
          <w:b w:val="0"/>
          <w:i w:val="0"/>
          <w:color w:val="202722"/>
          <w:sz w:val="22"/>
        </w:rPr>
        <w:t>Sunga combines simple recording, understandable planning and respectful guidance. It can be used only for savings, only for expenses, or as a complete money plan. The user remains in control of every record and recommendation.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Positioning statement: </w:t>
            </w:r>
            <w:r>
              <w:rPr>
                <w:rFonts w:ascii="Calibri" w:hAnsi="Calibri"/>
                <w:b w:val="0"/>
                <w:i w:val="0"/>
                <w:color w:val="202722"/>
                <w:sz w:val="22"/>
              </w:rPr>
              <w:t>Sunga helps you manage the money you have - not the money ordinary finance apps assume you have.</w:t>
            </w:r>
          </w:p>
        </w:tc>
        <w:trPr>
          <w:tblHeader/>
        </w:trPr>
      </w:tr>
    </w:tbl>
    <w:p>
      <w:pPr>
        <w:spacing w:after="40"/>
      </w:pPr>
    </w:p>
    <w:p>
      <w:pPr>
        <w:pStyle w:val="Heading1"/>
        <w:keepNext/>
      </w:pPr>
      <w:r>
        <w:rPr>
          <w:rFonts w:ascii="Calibri" w:hAnsi="Calibri"/>
          <w:b/>
          <w:i w:val="0"/>
          <w:color w:val="0E573D"/>
          <w:sz w:val="32"/>
        </w:rPr>
        <w:t>2. Product Principles</w:t>
      </w:r>
    </w:p>
    <w:p>
      <w:pPr>
        <w:pStyle w:val="ListBullet"/>
        <w:spacing w:after="80" w:line="300" w:lineRule="auto"/>
        <w:ind w:left="540" w:hanging="271"/>
      </w:pPr>
      <w:r>
        <w:rPr>
          <w:rFonts w:ascii="Calibri" w:hAnsi="Calibri"/>
          <w:b w:val="0"/>
          <w:i w:val="0"/>
          <w:color w:val="202722"/>
          <w:sz w:val="22"/>
        </w:rPr>
        <w:t>No judgement. The app supports recovery after overspending, missed savings or withdrawals.</w:t>
      </w:r>
    </w:p>
    <w:p>
      <w:pPr>
        <w:pStyle w:val="ListBullet"/>
        <w:spacing w:after="80" w:line="300" w:lineRule="auto"/>
        <w:ind w:left="540" w:hanging="271"/>
      </w:pPr>
      <w:r>
        <w:rPr>
          <w:rFonts w:ascii="Calibri" w:hAnsi="Calibri"/>
          <w:b w:val="0"/>
          <w:i w:val="0"/>
          <w:color w:val="202722"/>
          <w:sz w:val="22"/>
        </w:rPr>
        <w:t>Every amount counts. Small deposits and irregular income are first-class use cases.</w:t>
      </w:r>
    </w:p>
    <w:p>
      <w:pPr>
        <w:pStyle w:val="ListBullet"/>
        <w:spacing w:after="80" w:line="300" w:lineRule="auto"/>
        <w:ind w:left="540" w:hanging="271"/>
      </w:pPr>
      <w:r>
        <w:rPr>
          <w:rFonts w:ascii="Calibri" w:hAnsi="Calibri"/>
          <w:b w:val="0"/>
          <w:i w:val="0"/>
          <w:color w:val="202722"/>
          <w:sz w:val="22"/>
        </w:rPr>
        <w:t>Advice, not control. Sunga never changes a plan, cancels a subscription or moves money without permission.</w:t>
      </w:r>
    </w:p>
    <w:p>
      <w:pPr>
        <w:pStyle w:val="ListBullet"/>
        <w:spacing w:after="80" w:line="300" w:lineRule="auto"/>
        <w:ind w:left="540" w:hanging="271"/>
      </w:pPr>
      <w:r>
        <w:rPr>
          <w:rFonts w:ascii="Calibri" w:hAnsi="Calibri"/>
          <w:b w:val="0"/>
          <w:i w:val="0"/>
          <w:color w:val="202722"/>
          <w:sz w:val="22"/>
        </w:rPr>
        <w:t>Privacy by space. Sharing a family budget does not expose every person's private finances.</w:t>
      </w:r>
    </w:p>
    <w:p>
      <w:pPr>
        <w:pStyle w:val="ListBullet"/>
        <w:spacing w:after="80" w:line="300" w:lineRule="auto"/>
        <w:ind w:left="540" w:hanging="271"/>
      </w:pPr>
      <w:r>
        <w:rPr>
          <w:rFonts w:ascii="Calibri" w:hAnsi="Calibri"/>
          <w:b w:val="0"/>
          <w:i w:val="0"/>
          <w:color w:val="202722"/>
          <w:sz w:val="22"/>
        </w:rPr>
        <w:t>Honest limitations. If income and expenses are missing, Sunga must not claim that a savings plan is affordable.</w:t>
      </w:r>
    </w:p>
    <w:p>
      <w:pPr>
        <w:pStyle w:val="ListBullet"/>
        <w:spacing w:after="80" w:line="300" w:lineRule="auto"/>
        <w:ind w:left="540" w:hanging="271"/>
      </w:pPr>
      <w:r>
        <w:rPr>
          <w:rFonts w:ascii="Calibri" w:hAnsi="Calibri"/>
          <w:b w:val="0"/>
          <w:i w:val="0"/>
          <w:color w:val="202722"/>
          <w:sz w:val="22"/>
        </w:rPr>
        <w:t>Offline first. Core tracking and goal functions should work without continuous internet.</w:t>
      </w:r>
    </w:p>
    <w:p>
      <w:pPr>
        <w:pStyle w:val="ListBullet"/>
        <w:spacing w:after="80" w:line="300" w:lineRule="auto"/>
        <w:ind w:left="540" w:hanging="271"/>
      </w:pPr>
      <w:r>
        <w:rPr>
          <w:rFonts w:ascii="Calibri" w:hAnsi="Calibri"/>
          <w:b w:val="0"/>
          <w:i w:val="0"/>
          <w:color w:val="202722"/>
          <w:sz w:val="22"/>
        </w:rPr>
        <w:t>Accessible language. Avoid accounting jargon and explain every recommendation.</w:t>
      </w:r>
    </w:p>
    <w:p>
      <w:pPr>
        <w:pStyle w:val="ListBullet"/>
        <w:spacing w:after="80" w:line="300" w:lineRule="auto"/>
        <w:ind w:left="540" w:hanging="271"/>
      </w:pPr>
      <w:r>
        <w:rPr>
          <w:rFonts w:ascii="Calibri" w:hAnsi="Calibri"/>
          <w:b w:val="0"/>
          <w:i w:val="0"/>
          <w:color w:val="202722"/>
          <w:sz w:val="22"/>
        </w:rPr>
        <w:t>Tracker first. Financial custody comes only after suitable regulated partnerships and legal readiness.</w:t>
      </w:r>
    </w:p>
    <w:p>
      <w:pPr>
        <w:pStyle w:val="Heading1"/>
        <w:keepNext/>
      </w:pPr>
      <w:r>
        <w:rPr>
          <w:rFonts w:ascii="Calibri" w:hAnsi="Calibri"/>
          <w:b/>
          <w:i w:val="0"/>
          <w:color w:val="0E573D"/>
          <w:sz w:val="32"/>
        </w:rPr>
        <w:t>3. Market and Country Strategy</w:t>
      </w:r>
    </w:p>
    <w:p>
      <w:pPr>
        <w:spacing w:before="0" w:after="120" w:line="300" w:lineRule="auto"/>
      </w:pPr>
      <w:r>
        <w:rPr>
          <w:rFonts w:ascii="Calibri" w:hAnsi="Calibri"/>
          <w:b w:val="0"/>
          <w:i w:val="0"/>
          <w:color w:val="202722"/>
          <w:sz w:val="22"/>
        </w:rPr>
        <w:t>Sunga launches with Zambia as its first fully designed country experience while remaining technically ready for other African markets. The product should be described as built in Zambia and designed for Africa, rather than restricted to Zambians.</w:t>
      </w:r>
    </w:p>
    <w:tbl>
      <w:tblPr>
        <w:tblStyle w:val="TableGrid"/>
        <w:tblW w:type="dxa" w:w="9360"/>
        <w:jc w:val="left"/>
        <w:tblLayout w:type="fixed"/>
        <w:tblLook w:firstColumn="1" w:firstRow="1" w:lastColumn="0" w:lastRow="0" w:noHBand="0" w:noVBand="1" w:val="04A0"/>
        <w:tblInd w:w="120" w:type="dxa"/>
      </w:tblPr>
      <w:tblGrid>
        <w:gridCol w:w="1700"/>
        <w:gridCol w:w="2800"/>
        <w:gridCol w:w="4860"/>
      </w:tblGrid>
      <w:tr>
        <w:trPr>
          <w:tblHeader w:val="true"/>
        </w:trPr>
        <w:tc>
          <w:tcPr>
            <w:tcW w:type="dxa" w:w="1700"/>
            <w:tcMar>
              <w:top w:w="80" w:type="dxa"/>
              <w:start w:w="120" w:type="dxa"/>
              <w:bottom w:w="80" w:type="dxa"/>
              <w:end w:w="120" w:type="dxa"/>
            </w:tcMar>
            <w:shd w:fill="0E573D"/>
            <w:vAlign w:val="center"/>
          </w:tcPr>
          <w:p>
            <w:pPr>
              <w:spacing w:after="0"/>
            </w:pPr>
            <w:r>
              <w:rPr>
                <w:rFonts w:ascii="Calibri" w:hAnsi="Calibri"/>
                <w:b/>
                <w:i w:val="0"/>
                <w:color w:val="FFFFFF"/>
                <w:sz w:val="20"/>
              </w:rPr>
              <w:t>Stage</w:t>
            </w:r>
          </w:p>
        </w:tc>
        <w:tc>
          <w:tcPr>
            <w:tcW w:type="dxa" w:w="2800"/>
            <w:tcMar>
              <w:top w:w="80" w:type="dxa"/>
              <w:start w:w="120" w:type="dxa"/>
              <w:bottom w:w="80" w:type="dxa"/>
              <w:end w:w="120" w:type="dxa"/>
            </w:tcMar>
            <w:shd w:fill="0E573D"/>
            <w:vAlign w:val="center"/>
          </w:tcPr>
          <w:p>
            <w:pPr>
              <w:spacing w:after="0"/>
            </w:pPr>
            <w:r>
              <w:rPr>
                <w:rFonts w:ascii="Calibri" w:hAnsi="Calibri"/>
                <w:b/>
                <w:i w:val="0"/>
                <w:color w:val="FFFFFF"/>
                <w:sz w:val="20"/>
              </w:rPr>
              <w:t>Scope</w:t>
            </w:r>
          </w:p>
        </w:tc>
        <w:tc>
          <w:tcPr>
            <w:tcW w:type="dxa" w:w="4860"/>
            <w:tcMar>
              <w:top w:w="80" w:type="dxa"/>
              <w:start w:w="120" w:type="dxa"/>
              <w:bottom w:w="80" w:type="dxa"/>
              <w:end w:w="120" w:type="dxa"/>
            </w:tcMar>
            <w:shd w:fill="0E573D"/>
            <w:vAlign w:val="center"/>
          </w:tcPr>
          <w:p>
            <w:pPr>
              <w:spacing w:after="0"/>
            </w:pPr>
            <w:r>
              <w:rPr>
                <w:rFonts w:ascii="Calibri" w:hAnsi="Calibri"/>
                <w:b/>
                <w:i w:val="0"/>
                <w:color w:val="FFFFFF"/>
                <w:sz w:val="20"/>
              </w:rPr>
              <w:t>What it means</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i w:val="0"/>
                <w:color w:val="202722"/>
                <w:sz w:val="19"/>
              </w:rPr>
              <w:t>1. Zambia-first</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202722"/>
                <w:sz w:val="19"/>
              </w:rPr>
              <w:t>Validate the complete tracker in Zambia.</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202722"/>
                <w:sz w:val="19"/>
              </w:rPr>
              <w:t>ZMW defaults, local examples, English-first content, offline use and Zambian privacy review.</w:t>
            </w:r>
          </w:p>
        </w:tc>
      </w:tr>
      <w:tr>
        <w:tc>
          <w:tcPr>
            <w:tcW w:type="dxa" w:w="17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2. Selected countries</w:t>
            </w:r>
          </w:p>
        </w:tc>
        <w:tc>
          <w:tcPr>
            <w:tcW w:type="dxa" w:w="28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Add formal support country by country.</w:t>
            </w:r>
          </w:p>
        </w:tc>
        <w:tc>
          <w:tcPr>
            <w:tcW w:type="dxa" w:w="48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Local currencies, terminology, languages, privacy requirements and support.</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i w:val="0"/>
                <w:color w:val="202722"/>
                <w:sz w:val="19"/>
              </w:rPr>
              <w:t>3. Financial partnerships</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202722"/>
                <w:sz w:val="19"/>
              </w:rPr>
              <w:t>Enable optional real saving through regulated partners.</w:t>
            </w:r>
          </w:p>
        </w:tc>
        <w:tc>
          <w:tcPr>
            <w:tcW w:type="dxa" w:w="4860"/>
            <w:vAlign w:val="center"/>
            <w:tcMar>
              <w:top w:w="80" w:type="dxa"/>
              <w:start w:w="120" w:type="dxa"/>
              <w:bottom w:w="80" w:type="dxa"/>
              <w:end w:w="120" w:type="dxa"/>
            </w:tcMar>
          </w:tcPr>
          <w:p>
            <w:pPr>
              <w:spacing w:after="0" w:line="264" w:lineRule="auto"/>
            </w:pPr>
            <w:r>
              <w:rPr>
                <w:rFonts w:ascii="Calibri" w:hAnsi="Calibri"/>
                <w:b w:val="0"/>
                <w:i w:val="0"/>
                <w:color w:val="202722"/>
                <w:sz w:val="19"/>
              </w:rPr>
              <w:t>Separate approval, contracts and operational controls for each country.</w:t>
            </w:r>
          </w:p>
        </w:tc>
      </w:tr>
    </w:tbl>
    <w:p>
      <w:pPr>
        <w:spacing w:after="40"/>
      </w:pPr>
    </w:p>
    <w:p>
      <w:pPr>
        <w:pStyle w:val="Heading1"/>
        <w:keepNext/>
      </w:pPr>
      <w:r>
        <w:rPr>
          <w:rFonts w:ascii="Calibri" w:hAnsi="Calibri"/>
          <w:b/>
          <w:i w:val="0"/>
          <w:color w:val="0E573D"/>
          <w:sz w:val="32"/>
        </w:rPr>
        <w:t>4. User Modes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tcMar>
              <w:top w:w="80" w:type="dxa"/>
              <w:start w:w="120" w:type="dxa"/>
              <w:bottom w:w="80" w:type="dxa"/>
              <w:end w:w="120" w:type="dxa"/>
            </w:tcMar>
            <w:shd w:fill="0E573D"/>
            <w:vAlign w:val="center"/>
          </w:tcPr>
          <w:p>
            <w:pPr>
              <w:spacing w:after="0"/>
            </w:pPr>
            <w:r>
              <w:rPr>
                <w:rFonts w:ascii="Calibri" w:hAnsi="Calibri"/>
                <w:b/>
                <w:i w:val="0"/>
                <w:color w:val="FFFFFF"/>
                <w:sz w:val="20"/>
              </w:rPr>
              <w:t>Mode</w:t>
            </w:r>
          </w:p>
        </w:tc>
        <w:tc>
          <w:tcPr>
            <w:tcW w:type="dxa" w:w="3000"/>
            <w:tcMar>
              <w:top w:w="80" w:type="dxa"/>
              <w:start w:w="120" w:type="dxa"/>
              <w:bottom w:w="80" w:type="dxa"/>
              <w:end w:w="120" w:type="dxa"/>
            </w:tcMar>
            <w:shd w:fill="0E573D"/>
            <w:vAlign w:val="center"/>
          </w:tcPr>
          <w:p>
            <w:pPr>
              <w:spacing w:after="0"/>
            </w:pPr>
            <w:r>
              <w:rPr>
                <w:rFonts w:ascii="Calibri" w:hAnsi="Calibri"/>
                <w:b/>
                <w:i w:val="0"/>
                <w:color w:val="FFFFFF"/>
                <w:sz w:val="20"/>
              </w:rPr>
              <w:t>User records</w:t>
            </w:r>
          </w:p>
        </w:tc>
        <w:tc>
          <w:tcPr>
            <w:tcW w:type="dxa" w:w="4460"/>
            <w:tcMar>
              <w:top w:w="80" w:type="dxa"/>
              <w:start w:w="120" w:type="dxa"/>
              <w:bottom w:w="80" w:type="dxa"/>
              <w:end w:w="120" w:type="dxa"/>
            </w:tcMar>
            <w:shd w:fill="0E573D"/>
            <w:vAlign w:val="center"/>
          </w:tcPr>
          <w:p>
            <w:pPr>
              <w:spacing w:after="0"/>
            </w:pPr>
            <w:r>
              <w:rPr>
                <w:rFonts w:ascii="Calibri" w:hAnsi="Calibri"/>
                <w:b/>
                <w:i w:val="0"/>
                <w:color w:val="FFFFFF"/>
                <w:sz w:val="20"/>
              </w:rPr>
              <w:t>Sunga provides</w:t>
            </w:r>
          </w:p>
        </w:tc>
      </w:tr>
      <w:tr>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202722"/>
                <w:sz w:val="19"/>
              </w:rPr>
              <w:t>Savings only</w:t>
            </w:r>
          </w:p>
        </w:tc>
        <w:tc>
          <w:tcPr>
            <w:tcW w:type="dxa" w:w="3000"/>
            <w:vAlign w:val="center"/>
            <w:tcMar>
              <w:top w:w="80" w:type="dxa"/>
              <w:start w:w="120" w:type="dxa"/>
              <w:bottom w:w="80" w:type="dxa"/>
              <w:end w:w="120" w:type="dxa"/>
            </w:tcMar>
          </w:tcPr>
          <w:p>
            <w:pPr>
              <w:spacing w:after="0" w:line="264" w:lineRule="auto"/>
            </w:pPr>
            <w:r>
              <w:rPr>
                <w:rFonts w:ascii="Calibri" w:hAnsi="Calibri"/>
                <w:b w:val="0"/>
                <w:i w:val="0"/>
                <w:color w:val="202722"/>
                <w:sz w:val="19"/>
              </w:rPr>
              <w:t>Goals, deposits and withdrawals.</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202722"/>
                <w:sz w:val="19"/>
              </w:rPr>
              <w:t>Progress, contribution plans, reminders and milestones. No income questions are required.</w:t>
            </w:r>
          </w:p>
        </w:tc>
      </w:tr>
      <w:tr>
        <w:tc>
          <w:tcPr>
            <w:tcW w:type="dxa" w:w="19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Expense tracker</w:t>
            </w:r>
          </w:p>
        </w:tc>
        <w:tc>
          <w:tcPr>
            <w:tcW w:type="dxa" w:w="30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Spending, bills and subscriptions.</w:t>
            </w:r>
          </w:p>
        </w:tc>
        <w:tc>
          <w:tcPr>
            <w:tcW w:type="dxa" w:w="44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Categories, trends and optional cost-reduction suggestions.</w:t>
            </w:r>
          </w:p>
        </w:tc>
      </w:tr>
      <w:tr>
        <w:tc>
          <w:tcPr>
            <w:tcW w:type="dxa" w:w="1900"/>
            <w:vAlign w:val="center"/>
            <w:tcMar>
              <w:top w:w="80" w:type="dxa"/>
              <w:start w:w="120" w:type="dxa"/>
              <w:bottom w:w="80" w:type="dxa"/>
              <w:end w:w="120" w:type="dxa"/>
            </w:tcMar>
          </w:tcPr>
          <w:p>
            <w:pPr>
              <w:spacing w:after="0" w:line="264" w:lineRule="auto"/>
            </w:pPr>
            <w:r>
              <w:rPr>
                <w:rFonts w:ascii="Calibri" w:hAnsi="Calibri"/>
                <w:b w:val="0"/>
                <w:i w:val="0"/>
                <w:color w:val="202722"/>
                <w:sz w:val="19"/>
              </w:rPr>
              <w:t>Full money plan</w:t>
            </w:r>
          </w:p>
        </w:tc>
        <w:tc>
          <w:tcPr>
            <w:tcW w:type="dxa" w:w="3000"/>
            <w:vAlign w:val="center"/>
            <w:tcMar>
              <w:top w:w="80" w:type="dxa"/>
              <w:start w:w="120" w:type="dxa"/>
              <w:bottom w:w="80" w:type="dxa"/>
              <w:end w:w="120" w:type="dxa"/>
            </w:tcMar>
          </w:tcPr>
          <w:p>
            <w:pPr>
              <w:spacing w:after="0" w:line="264" w:lineRule="auto"/>
            </w:pPr>
            <w:r>
              <w:rPr>
                <w:rFonts w:ascii="Calibri" w:hAnsi="Calibri"/>
                <w:b w:val="0"/>
                <w:i w:val="0"/>
                <w:color w:val="202722"/>
                <w:sz w:val="19"/>
              </w:rPr>
              <w:t>Income, expenses, bills, debts and savings.</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202722"/>
                <w:sz w:val="19"/>
              </w:rPr>
              <w:t>Cash-flow planning, affordable goal suggestions and complete reports.</w:t>
            </w:r>
          </w:p>
        </w:tc>
      </w:tr>
    </w:tbl>
    <w:p>
      <w:pPr>
        <w:spacing w:after="40"/>
      </w:pPr>
    </w:p>
    <w:p>
      <w:pPr>
        <w:spacing w:before="0" w:after="120" w:line="300" w:lineRule="auto"/>
      </w:pPr>
      <w:r>
        <w:rPr>
          <w:rFonts w:ascii="Calibri" w:hAnsi="Calibri"/>
          <w:b w:val="0"/>
          <w:i w:val="0"/>
          <w:color w:val="202722"/>
          <w:sz w:val="22"/>
        </w:rPr>
        <w:t>Users may switch modes at any time without losing information. Sunga can occasionally invite a savings-only user to enable budgeting, but “Not now” must always be available.</w:t>
      </w:r>
    </w:p>
    <w:p>
      <w:pPr>
        <w:pStyle w:val="Heading1"/>
        <w:keepNext/>
      </w:pPr>
      <w:r>
        <w:rPr>
          <w:rFonts w:ascii="Calibri" w:hAnsi="Calibri"/>
          <w:b/>
          <w:i w:val="0"/>
          <w:color w:val="0E573D"/>
          <w:sz w:val="32"/>
        </w:rPr>
        <w:t>5. Identity, Profiles and Money Spaces</w:t>
      </w:r>
    </w:p>
    <w:p>
      <w:pPr>
        <w:spacing w:before="0" w:after="120" w:line="300" w:lineRule="auto"/>
      </w:pPr>
      <w:r>
        <w:rPr>
          <w:rFonts w:ascii="Calibri" w:hAnsi="Calibri"/>
          <w:b w:val="0"/>
          <w:i w:val="0"/>
          <w:color w:val="202722"/>
          <w:sz w:val="22"/>
        </w:rPr>
        <w:t>Each person has one Sunga identity. That identity can contain several spaces rather than requiring multiple logins.</w:t>
      </w:r>
    </w:p>
    <w:p>
      <w:pPr>
        <w:pStyle w:val="ListBullet"/>
        <w:spacing w:after="80" w:line="300" w:lineRule="auto"/>
        <w:ind w:left="540" w:hanging="271"/>
      </w:pPr>
      <w:r>
        <w:rPr>
          <w:rFonts w:ascii="Calibri" w:hAnsi="Calibri"/>
          <w:b w:val="0"/>
          <w:i w:val="0"/>
          <w:color w:val="202722"/>
          <w:sz w:val="22"/>
        </w:rPr>
        <w:t>My Money: the user's private income, expenses, debts and goals.</w:t>
      </w:r>
    </w:p>
    <w:p>
      <w:pPr>
        <w:pStyle w:val="ListBullet"/>
        <w:spacing w:after="80" w:line="300" w:lineRule="auto"/>
        <w:ind w:left="540" w:hanging="271"/>
      </w:pPr>
      <w:r>
        <w:rPr>
          <w:rFonts w:ascii="Calibri" w:hAnsi="Calibri"/>
          <w:b w:val="0"/>
          <w:i w:val="0"/>
          <w:color w:val="202722"/>
          <w:sz w:val="22"/>
        </w:rPr>
        <w:t>Family Budget: shared household income contributions, bills, spending and goals.</w:t>
      </w:r>
    </w:p>
    <w:p>
      <w:pPr>
        <w:pStyle w:val="ListBullet"/>
        <w:spacing w:after="80" w:line="300" w:lineRule="auto"/>
        <w:ind w:left="540" w:hanging="271"/>
      </w:pPr>
      <w:r>
        <w:rPr>
          <w:rFonts w:ascii="Calibri" w:hAnsi="Calibri"/>
          <w:b w:val="0"/>
          <w:i w:val="0"/>
          <w:color w:val="202722"/>
          <w:sz w:val="22"/>
        </w:rPr>
        <w:t>Child or Teen Profile: age-appropriate tracking with guardian relationships.</w:t>
      </w:r>
    </w:p>
    <w:p>
      <w:pPr>
        <w:pStyle w:val="ListBullet"/>
        <w:spacing w:after="80" w:line="300" w:lineRule="auto"/>
        <w:ind w:left="540" w:hanging="271"/>
      </w:pPr>
      <w:r>
        <w:rPr>
          <w:rFonts w:ascii="Calibri" w:hAnsi="Calibri"/>
          <w:b w:val="0"/>
          <w:i w:val="0"/>
          <w:color w:val="202722"/>
          <w:sz w:val="22"/>
        </w:rPr>
        <w:t>Business Wallet: small-business income and expenses separated from household money.</w:t>
      </w:r>
    </w:p>
    <w:p>
      <w:pPr>
        <w:pStyle w:val="ListBullet"/>
        <w:spacing w:after="80" w:line="300" w:lineRule="auto"/>
        <w:ind w:left="540" w:hanging="271"/>
      </w:pPr>
      <w:r>
        <w:rPr>
          <w:rFonts w:ascii="Calibri" w:hAnsi="Calibri"/>
          <w:b w:val="0"/>
          <w:i w:val="0"/>
          <w:color w:val="202722"/>
          <w:sz w:val="22"/>
        </w:rPr>
        <w:t>Additional Household: optional support for another family or responsibility group.</w:t>
      </w:r>
    </w:p>
    <w:p>
      <w:pPr>
        <w:spacing w:before="0" w:after="120" w:line="300" w:lineRule="auto"/>
      </w:pPr>
      <w:r>
        <w:rPr>
          <w:rFonts w:ascii="Calibri" w:hAnsi="Calibri"/>
          <w:b w:val="0"/>
          <w:i w:val="0"/>
          <w:color w:val="202722"/>
          <w:sz w:val="22"/>
        </w:rPr>
        <w:t>Every screen, notification, report and AI suggestion must display which space it belongs to. Private information must never leak into a shared report or another member's notification.</w:t>
      </w:r>
    </w:p>
    <w:p>
      <w:pPr>
        <w:pStyle w:val="Heading1"/>
        <w:keepNext/>
      </w:pPr>
      <w:r>
        <w:rPr>
          <w:rFonts w:ascii="Calibri" w:hAnsi="Calibri"/>
          <w:b/>
          <w:i w:val="0"/>
          <w:color w:val="0E573D"/>
          <w:sz w:val="32"/>
        </w:rPr>
        <w:t>6. Children, Teenagers and Guardians</w:t>
      </w:r>
    </w:p>
    <w:p>
      <w:pPr>
        <w:spacing w:before="0" w:after="120" w:line="300" w:lineRule="auto"/>
      </w:pPr>
      <w:r>
        <w:rPr>
          <w:rFonts w:ascii="Calibri" w:hAnsi="Calibri"/>
          <w:b w:val="0"/>
          <w:i w:val="0"/>
          <w:color w:val="202722"/>
          <w:sz w:val="22"/>
        </w:rPr>
        <w:t>Sunga is intended for everyone, but supervision and privacy change with age and legal responsibility. Exact age boundaries must be confirmed through Zambia-specific legal and child-protection review before launch.</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tcMar>
              <w:top w:w="80" w:type="dxa"/>
              <w:start w:w="120" w:type="dxa"/>
              <w:bottom w:w="80" w:type="dxa"/>
              <w:end w:w="120" w:type="dxa"/>
            </w:tcMar>
            <w:shd w:fill="0E573D"/>
            <w:vAlign w:val="center"/>
          </w:tcPr>
          <w:p>
            <w:pPr>
              <w:spacing w:after="0"/>
            </w:pPr>
            <w:r>
              <w:rPr>
                <w:rFonts w:ascii="Calibri" w:hAnsi="Calibri"/>
                <w:b/>
                <w:i w:val="0"/>
                <w:color w:val="FFFFFF"/>
                <w:sz w:val="20"/>
              </w:rPr>
              <w:t>Profile</w:t>
            </w:r>
          </w:p>
        </w:tc>
        <w:tc>
          <w:tcPr>
            <w:tcW w:type="dxa" w:w="3300"/>
            <w:tcMar>
              <w:top w:w="80" w:type="dxa"/>
              <w:start w:w="120" w:type="dxa"/>
              <w:bottom w:w="80" w:type="dxa"/>
              <w:end w:w="120" w:type="dxa"/>
            </w:tcMar>
            <w:shd w:fill="0E573D"/>
            <w:vAlign w:val="center"/>
          </w:tcPr>
          <w:p>
            <w:pPr>
              <w:spacing w:after="0"/>
            </w:pPr>
            <w:r>
              <w:rPr>
                <w:rFonts w:ascii="Calibri" w:hAnsi="Calibri"/>
                <w:b/>
                <w:i w:val="0"/>
                <w:color w:val="FFFFFF"/>
                <w:sz w:val="20"/>
              </w:rPr>
              <w:t>Control</w:t>
            </w:r>
          </w:p>
        </w:tc>
        <w:tc>
          <w:tcPr>
            <w:tcW w:type="dxa" w:w="4360"/>
            <w:tcMar>
              <w:top w:w="80" w:type="dxa"/>
              <w:start w:w="120" w:type="dxa"/>
              <w:bottom w:w="80" w:type="dxa"/>
              <w:end w:w="120" w:type="dxa"/>
            </w:tcMar>
            <w:shd w:fill="0E573D"/>
            <w:vAlign w:val="center"/>
          </w:tcPr>
          <w:p>
            <w:pPr>
              <w:spacing w:after="0"/>
            </w:pPr>
            <w:r>
              <w:rPr>
                <w:rFonts w:ascii="Calibri" w:hAnsi="Calibri"/>
                <w:b/>
                <w:i w:val="0"/>
                <w:color w:val="FFFFFF"/>
                <w:sz w:val="20"/>
              </w:rPr>
              <w:t>Recommended visibility</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i w:val="0"/>
                <w:color w:val="202722"/>
                <w:sz w:val="19"/>
              </w:rPr>
              <w:t>Young child</w:t>
            </w:r>
          </w:p>
        </w:tc>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202722"/>
                <w:sz w:val="19"/>
              </w:rPr>
              <w:t>Created and managed by a parent or guardian.</w:t>
            </w:r>
          </w:p>
        </w:tc>
        <w:tc>
          <w:tcPr>
            <w:tcW w:type="dxa" w:w="4360"/>
            <w:vAlign w:val="center"/>
            <w:tcMar>
              <w:top w:w="80" w:type="dxa"/>
              <w:start w:w="120" w:type="dxa"/>
              <w:bottom w:w="80" w:type="dxa"/>
              <w:end w:w="120" w:type="dxa"/>
            </w:tcMar>
          </w:tcPr>
          <w:p>
            <w:pPr>
              <w:spacing w:after="0" w:line="264" w:lineRule="auto"/>
            </w:pPr>
            <w:r>
              <w:rPr>
                <w:rFonts w:ascii="Calibri" w:hAnsi="Calibri"/>
                <w:b w:val="0"/>
                <w:i w:val="0"/>
                <w:color w:val="202722"/>
                <w:sz w:val="19"/>
              </w:rPr>
              <w:t>Guardian sees all records and settings. The child gets a simplified learning and progress view.</w:t>
            </w:r>
          </w:p>
        </w:tc>
      </w:tr>
      <w:tr>
        <w:tc>
          <w:tcPr>
            <w:tcW w:type="dxa" w:w="17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Teenager</w:t>
            </w:r>
          </w:p>
        </w:tc>
        <w:tc>
          <w:tcPr>
            <w:tcW w:type="dxa" w:w="33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Guardian authorises and remains linked; teenager can manage permitted records.</w:t>
            </w:r>
          </w:p>
        </w:tc>
        <w:tc>
          <w:tcPr>
            <w:tcW w:type="dxa" w:w="43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Goal-level privacy may be Private, Progress only, Shared or Parent-managed.</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i w:val="0"/>
                <w:color w:val="202722"/>
                <w:sz w:val="19"/>
              </w:rPr>
              <w:t>Adult</w:t>
            </w:r>
          </w:p>
        </w:tc>
        <w:tc>
          <w:tcPr>
            <w:tcW w:type="dxa" w:w="3300"/>
            <w:vAlign w:val="center"/>
            <w:tcMar>
              <w:top w:w="80" w:type="dxa"/>
              <w:start w:w="120" w:type="dxa"/>
              <w:bottom w:w="80" w:type="dxa"/>
              <w:end w:w="120" w:type="dxa"/>
            </w:tcMar>
          </w:tcPr>
          <w:p>
            <w:pPr>
              <w:spacing w:after="0" w:line="264" w:lineRule="auto"/>
            </w:pPr>
            <w:r>
              <w:rPr>
                <w:rFonts w:ascii="Calibri" w:hAnsi="Calibri"/>
                <w:b w:val="0"/>
                <w:i w:val="0"/>
                <w:color w:val="202722"/>
                <w:sz w:val="19"/>
              </w:rPr>
              <w:t>User controls the identity and spaces.</w:t>
            </w:r>
          </w:p>
        </w:tc>
        <w:tc>
          <w:tcPr>
            <w:tcW w:type="dxa" w:w="4360"/>
            <w:vAlign w:val="center"/>
            <w:tcMar>
              <w:top w:w="80" w:type="dxa"/>
              <w:start w:w="120" w:type="dxa"/>
              <w:bottom w:w="80" w:type="dxa"/>
              <w:end w:w="120" w:type="dxa"/>
            </w:tcMar>
          </w:tcPr>
          <w:p>
            <w:pPr>
              <w:spacing w:after="0" w:line="264" w:lineRule="auto"/>
            </w:pPr>
            <w:r>
              <w:rPr>
                <w:rFonts w:ascii="Calibri" w:hAnsi="Calibri"/>
                <w:b w:val="0"/>
                <w:i w:val="0"/>
                <w:color w:val="202722"/>
                <w:sz w:val="19"/>
              </w:rPr>
              <w:t>Private by default; sharing is explicit and reversible.</w:t>
            </w:r>
          </w:p>
        </w:tc>
      </w:tr>
    </w:tbl>
    <w:p>
      <w:pPr>
        <w:spacing w:after="40"/>
      </w:pPr>
    </w:p>
    <w:p>
      <w:pPr>
        <w:pStyle w:val="Heading2"/>
        <w:keepNext/>
      </w:pPr>
      <w:r>
        <w:rPr>
          <w:rFonts w:ascii="Calibri" w:hAnsi="Calibri"/>
          <w:b/>
          <w:i w:val="0"/>
          <w:color w:val="0E573D"/>
          <w:sz w:val="26"/>
        </w:rPr>
        <w:t>Teen privacy model</w:t>
      </w:r>
    </w:p>
    <w:p>
      <w:pPr>
        <w:pStyle w:val="ListBullet"/>
        <w:spacing w:after="80" w:line="300" w:lineRule="auto"/>
        <w:ind w:left="540" w:hanging="271"/>
      </w:pPr>
      <w:r>
        <w:rPr>
          <w:rFonts w:ascii="Calibri" w:hAnsi="Calibri"/>
          <w:b w:val="0"/>
          <w:i w:val="0"/>
          <w:color w:val="202722"/>
          <w:sz w:val="22"/>
        </w:rPr>
        <w:t>Private: the guardian knows the account exists but does not see the goal name, purpose or amount.</w:t>
      </w:r>
    </w:p>
    <w:p>
      <w:pPr>
        <w:pStyle w:val="ListBullet"/>
        <w:spacing w:after="80" w:line="300" w:lineRule="auto"/>
        <w:ind w:left="540" w:hanging="271"/>
      </w:pPr>
      <w:r>
        <w:rPr>
          <w:rFonts w:ascii="Calibri" w:hAnsi="Calibri"/>
          <w:b w:val="0"/>
          <w:i w:val="0"/>
          <w:color w:val="202722"/>
          <w:sz w:val="22"/>
        </w:rPr>
        <w:t>Progress only: the guardian sees a percentage or milestone, not the amount or purpose.</w:t>
      </w:r>
    </w:p>
    <w:p>
      <w:pPr>
        <w:pStyle w:val="ListBullet"/>
        <w:spacing w:after="80" w:line="300" w:lineRule="auto"/>
        <w:ind w:left="540" w:hanging="271"/>
      </w:pPr>
      <w:r>
        <w:rPr>
          <w:rFonts w:ascii="Calibri" w:hAnsi="Calibri"/>
          <w:b w:val="0"/>
          <w:i w:val="0"/>
          <w:color w:val="202722"/>
          <w:sz w:val="22"/>
        </w:rPr>
        <w:t>Shared: guardian and teenager see the full goal and may contribute.</w:t>
      </w:r>
    </w:p>
    <w:p>
      <w:pPr>
        <w:pStyle w:val="ListBullet"/>
        <w:spacing w:after="80" w:line="300" w:lineRule="auto"/>
        <w:ind w:left="540" w:hanging="271"/>
      </w:pPr>
      <w:r>
        <w:rPr>
          <w:rFonts w:ascii="Calibri" w:hAnsi="Calibri"/>
          <w:b w:val="0"/>
          <w:i w:val="0"/>
          <w:color w:val="202722"/>
          <w:sz w:val="22"/>
        </w:rPr>
        <w:t>Parent-managed: the guardian manages the goal and records.</w:t>
      </w:r>
    </w:p>
    <w:p>
      <w:pPr>
        <w:spacing w:before="0" w:after="120" w:line="300" w:lineRule="auto"/>
      </w:pPr>
      <w:r>
        <w:rPr>
          <w:rFonts w:ascii="Calibri" w:hAnsi="Calibri"/>
          <w:b w:val="0"/>
          <w:i w:val="0"/>
          <w:color w:val="202722"/>
          <w:sz w:val="22"/>
        </w:rPr>
        <w:t>Guardians may see account status, consent status, recovery settings and safety controls. Tracker privacy rules must be reconsidered if Sunga later holds money because identity, withdrawal and guardianship obligations may require additional visibility.</w:t>
      </w:r>
    </w:p>
    <w:p>
      <w:pPr>
        <w:pStyle w:val="Heading1"/>
        <w:keepNext/>
      </w:pPr>
      <w:r>
        <w:rPr>
          <w:rFonts w:ascii="Calibri" w:hAnsi="Calibri"/>
          <w:b/>
          <w:i w:val="0"/>
          <w:color w:val="0E573D"/>
          <w:sz w:val="32"/>
        </w:rPr>
        <w:t>7. Family Budgeting and Personal Privacy</w:t>
      </w:r>
    </w:p>
    <w:p>
      <w:pPr>
        <w:spacing w:before="0" w:after="120" w:line="300" w:lineRule="auto"/>
      </w:pPr>
      <w:r>
        <w:rPr>
          <w:rFonts w:ascii="Calibri" w:hAnsi="Calibri"/>
          <w:b w:val="0"/>
          <w:i w:val="0"/>
          <w:color w:val="202722"/>
          <w:sz w:val="22"/>
        </w:rPr>
        <w:t>Family budgeting is included at launch. Spouses or partners can be equal co-owners of a shared household space while each retains a separate private space inside the same app.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0E573D"/>
            <w:vAlign w:val="center"/>
          </w:tcPr>
          <w:p>
            <w:pPr>
              <w:spacing w:after="0"/>
            </w:pPr>
            <w:r>
              <w:rPr>
                <w:rFonts w:ascii="Calibri" w:hAnsi="Calibri"/>
                <w:b/>
                <w:i w:val="0"/>
                <w:color w:val="FFFFFF"/>
                <w:sz w:val="20"/>
              </w:rPr>
              <w:t>Shared family space</w:t>
            </w:r>
          </w:p>
        </w:tc>
        <w:tc>
          <w:tcPr>
            <w:tcW w:type="dxa" w:w="4680"/>
            <w:tcMar>
              <w:top w:w="80" w:type="dxa"/>
              <w:start w:w="120" w:type="dxa"/>
              <w:bottom w:w="80" w:type="dxa"/>
              <w:end w:w="120" w:type="dxa"/>
            </w:tcMar>
            <w:shd w:fill="0E573D"/>
            <w:vAlign w:val="center"/>
          </w:tcPr>
          <w:p>
            <w:pPr>
              <w:spacing w:after="0"/>
            </w:pPr>
            <w:r>
              <w:rPr>
                <w:rFonts w:ascii="Calibri" w:hAnsi="Calibri"/>
                <w:b/>
                <w:i w:val="0"/>
                <w:color w:val="FFFFFF"/>
                <w:sz w:val="20"/>
              </w:rPr>
              <w:t>Private personal space</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Household contributions</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Private income</w:t>
            </w:r>
          </w:p>
        </w:tc>
      </w:tr>
      <w:tr>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Rent, utilities and groceries</w:t>
            </w:r>
          </w:p>
        </w:tc>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Personal spending</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School fees and family debts</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Private debts and notes</w:t>
            </w:r>
          </w:p>
        </w:tc>
      </w:tr>
      <w:tr>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Shared goals and spending limits</w:t>
            </w:r>
          </w:p>
        </w:tc>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Private savings goals</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Member activity history</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Personal notifications and reports</w:t>
            </w:r>
          </w:p>
        </w:tc>
      </w:tr>
    </w:tbl>
    <w:p>
      <w:pPr>
        <w:spacing w:after="40"/>
      </w:pPr>
    </w:p>
    <w:p>
      <w:pPr>
        <w:pStyle w:val="Heading2"/>
        <w:keepNext/>
      </w:pPr>
      <w:r>
        <w:rPr>
          <w:rFonts w:ascii="Calibri" w:hAnsi="Calibri"/>
          <w:b/>
          <w:i w:val="0"/>
          <w:color w:val="0E573D"/>
          <w:sz w:val="26"/>
        </w:rPr>
        <w:t>Family safety rules</w:t>
      </w:r>
    </w:p>
    <w:p>
      <w:pPr>
        <w:pStyle w:val="ListBullet"/>
        <w:spacing w:after="80" w:line="300" w:lineRule="auto"/>
        <w:ind w:left="540" w:hanging="271"/>
      </w:pPr>
      <w:r>
        <w:rPr>
          <w:rFonts w:ascii="Calibri" w:hAnsi="Calibri"/>
          <w:b w:val="0"/>
          <w:i w:val="0"/>
          <w:color w:val="202722"/>
          <w:sz w:val="22"/>
        </w:rPr>
        <w:t>A spouse is not automatically an administrator of the other spouse's private space.</w:t>
      </w:r>
    </w:p>
    <w:p>
      <w:pPr>
        <w:pStyle w:val="ListBullet"/>
        <w:spacing w:after="80" w:line="300" w:lineRule="auto"/>
        <w:ind w:left="540" w:hanging="271"/>
      </w:pPr>
      <w:r>
        <w:rPr>
          <w:rFonts w:ascii="Calibri" w:hAnsi="Calibri"/>
          <w:b w:val="0"/>
          <w:i w:val="0"/>
          <w:color w:val="202722"/>
          <w:sz w:val="22"/>
        </w:rPr>
        <w:t>Private balances must not influence visible family advice unless the owner explicitly contributes them.</w:t>
      </w:r>
    </w:p>
    <w:p>
      <w:pPr>
        <w:pStyle w:val="ListBullet"/>
        <w:spacing w:after="80" w:line="300" w:lineRule="auto"/>
        <w:ind w:left="540" w:hanging="271"/>
      </w:pPr>
      <w:r>
        <w:rPr>
          <w:rFonts w:ascii="Calibri" w:hAnsi="Calibri"/>
          <w:b w:val="0"/>
          <w:i w:val="0"/>
          <w:color w:val="202722"/>
          <w:sz w:val="22"/>
        </w:rPr>
        <w:t>Both adults can leave a shared budget without losing their personal records.</w:t>
      </w:r>
    </w:p>
    <w:p>
      <w:pPr>
        <w:pStyle w:val="ListBullet"/>
        <w:spacing w:after="80" w:line="300" w:lineRule="auto"/>
        <w:ind w:left="540" w:hanging="271"/>
      </w:pPr>
      <w:r>
        <w:rPr>
          <w:rFonts w:ascii="Calibri" w:hAnsi="Calibri"/>
          <w:b w:val="0"/>
          <w:i w:val="0"/>
          <w:color w:val="202722"/>
          <w:sz w:val="22"/>
        </w:rPr>
        <w:t>Member removal, permission changes and shared-record edits require confirmation and an audit history.</w:t>
      </w:r>
    </w:p>
    <w:p>
      <w:pPr>
        <w:pStyle w:val="ListBullet"/>
        <w:spacing w:after="80" w:line="300" w:lineRule="auto"/>
        <w:ind w:left="540" w:hanging="271"/>
      </w:pPr>
      <w:r>
        <w:rPr>
          <w:rFonts w:ascii="Calibri" w:hAnsi="Calibri"/>
          <w:b w:val="0"/>
          <w:i w:val="0"/>
          <w:color w:val="202722"/>
          <w:sz w:val="22"/>
        </w:rPr>
        <w:t>Provide a safe exit path for separation, coercion or abuse; do not notify another member in a way that creates risk.</w:t>
      </w:r>
    </w:p>
    <w:p>
      <w:pPr>
        <w:pStyle w:val="ListBullet"/>
        <w:spacing w:after="80" w:line="300" w:lineRule="auto"/>
        <w:ind w:left="540" w:hanging="271"/>
      </w:pPr>
      <w:r>
        <w:rPr>
          <w:rFonts w:ascii="Calibri" w:hAnsi="Calibri"/>
          <w:b w:val="0"/>
          <w:i w:val="0"/>
          <w:color w:val="202722"/>
          <w:sz w:val="22"/>
        </w:rPr>
        <w:t>Children see only household information explicitly shared with them.</w:t>
      </w:r>
    </w:p>
    <w:p>
      <w:pPr>
        <w:pStyle w:val="Heading1"/>
        <w:keepNext/>
      </w:pPr>
      <w:r>
        <w:rPr>
          <w:rFonts w:ascii="Calibri" w:hAnsi="Calibri"/>
          <w:b/>
          <w:i w:val="0"/>
          <w:color w:val="0E573D"/>
          <w:sz w:val="32"/>
        </w:rPr>
        <w:t>8. Onboarding</w:t>
      </w:r>
    </w:p>
    <w:p>
      <w:pPr>
        <w:pStyle w:val="ListNumber"/>
        <w:spacing w:after="80" w:line="300" w:lineRule="auto"/>
        <w:ind w:left="540" w:hanging="271"/>
      </w:pPr>
      <w:r>
        <w:rPr>
          <w:rFonts w:ascii="Calibri" w:hAnsi="Calibri"/>
          <w:b w:val="0"/>
          <w:i w:val="0"/>
          <w:color w:val="202722"/>
          <w:sz w:val="22"/>
        </w:rPr>
        <w:t>Select country and preferred language.</w:t>
      </w:r>
    </w:p>
    <w:p>
      <w:pPr>
        <w:pStyle w:val="ListNumber"/>
        <w:spacing w:after="80" w:line="300" w:lineRule="auto"/>
        <w:ind w:left="540" w:hanging="271"/>
      </w:pPr>
      <w:r>
        <w:rPr>
          <w:rFonts w:ascii="Calibri" w:hAnsi="Calibri"/>
          <w:b w:val="0"/>
          <w:i w:val="0"/>
          <w:color w:val="202722"/>
          <w:sz w:val="22"/>
        </w:rPr>
        <w:t>Confirm home currency; Zambia suggests ZMW but never forces it.</w:t>
      </w:r>
    </w:p>
    <w:p>
      <w:pPr>
        <w:pStyle w:val="ListNumber"/>
        <w:spacing w:after="80" w:line="300" w:lineRule="auto"/>
        <w:ind w:left="540" w:hanging="271"/>
      </w:pPr>
      <w:r>
        <w:rPr>
          <w:rFonts w:ascii="Calibri" w:hAnsi="Calibri"/>
          <w:b w:val="0"/>
          <w:i w:val="0"/>
          <w:color w:val="202722"/>
          <w:sz w:val="22"/>
        </w:rPr>
        <w:t>Choose Savings only, Expense tracker or Full money plan.</w:t>
      </w:r>
    </w:p>
    <w:p>
      <w:pPr>
        <w:pStyle w:val="ListNumber"/>
        <w:spacing w:after="80" w:line="300" w:lineRule="auto"/>
        <w:ind w:left="540" w:hanging="271"/>
      </w:pPr>
      <w:r>
        <w:rPr>
          <w:rFonts w:ascii="Calibri" w:hAnsi="Calibri"/>
          <w:b w:val="0"/>
          <w:i w:val="0"/>
          <w:color w:val="202722"/>
          <w:sz w:val="22"/>
        </w:rPr>
        <w:t>Choose personal use, family use, child/teen profile or a combination.</w:t>
      </w:r>
    </w:p>
    <w:p>
      <w:pPr>
        <w:pStyle w:val="ListNumber"/>
        <w:spacing w:after="80" w:line="300" w:lineRule="auto"/>
        <w:ind w:left="540" w:hanging="271"/>
      </w:pPr>
      <w:r>
        <w:rPr>
          <w:rFonts w:ascii="Calibri" w:hAnsi="Calibri"/>
          <w:b w:val="0"/>
          <w:i w:val="0"/>
          <w:color w:val="202722"/>
          <w:sz w:val="22"/>
        </w:rPr>
        <w:t>Set privacy, guardian and notification preferences.</w:t>
      </w:r>
    </w:p>
    <w:p>
      <w:pPr>
        <w:pStyle w:val="ListNumber"/>
        <w:spacing w:after="80" w:line="300" w:lineRule="auto"/>
        <w:ind w:left="540" w:hanging="271"/>
      </w:pPr>
      <w:r>
        <w:rPr>
          <w:rFonts w:ascii="Calibri" w:hAnsi="Calibri"/>
          <w:b w:val="0"/>
          <w:i w:val="0"/>
          <w:color w:val="202722"/>
          <w:sz w:val="22"/>
        </w:rPr>
        <w:t>Create the first goal, expense or income record instead of completing a long questionnaire.</w:t>
      </w:r>
    </w:p>
    <w:p>
      <w:pPr>
        <w:pStyle w:val="Heading1"/>
        <w:keepNext/>
      </w:pPr>
      <w:r>
        <w:rPr>
          <w:rFonts w:ascii="Calibri" w:hAnsi="Calibri"/>
          <w:b/>
          <w:i w:val="0"/>
          <w:color w:val="0E573D"/>
          <w:sz w:val="32"/>
        </w:rPr>
        <w:t>9. Income Tracking</w:t>
      </w:r>
    </w:p>
    <w:p>
      <w:pPr>
        <w:spacing w:before="0" w:after="120" w:line="300" w:lineRule="auto"/>
      </w:pPr>
      <w:r>
        <w:rPr>
          <w:rFonts w:ascii="Calibri" w:hAnsi="Calibri"/>
          <w:b w:val="0"/>
          <w:i w:val="0"/>
          <w:color w:val="202722"/>
          <w:sz w:val="22"/>
        </w:rPr>
        <w:t>Users can record unlimited income sources and see both individual amounts and a combined total.</w:t>
      </w:r>
    </w:p>
    <w:p>
      <w:pPr>
        <w:pStyle w:val="ListBullet"/>
        <w:spacing w:after="80" w:line="300" w:lineRule="auto"/>
        <w:ind w:left="540" w:hanging="271"/>
      </w:pPr>
      <w:r>
        <w:rPr>
          <w:rFonts w:ascii="Calibri" w:hAnsi="Calibri"/>
          <w:b w:val="0"/>
          <w:i w:val="0"/>
          <w:color w:val="202722"/>
          <w:sz w:val="22"/>
        </w:rPr>
        <w:t>Salary, business sales, farming, piecework, gifts, allowance, rental income and custom sources.</w:t>
      </w:r>
    </w:p>
    <w:p>
      <w:pPr>
        <w:pStyle w:val="ListBullet"/>
        <w:spacing w:after="80" w:line="300" w:lineRule="auto"/>
        <w:ind w:left="540" w:hanging="271"/>
      </w:pPr>
      <w:r>
        <w:rPr>
          <w:rFonts w:ascii="Calibri" w:hAnsi="Calibri"/>
          <w:b w:val="0"/>
          <w:i w:val="0"/>
          <w:color w:val="202722"/>
          <w:sz w:val="22"/>
        </w:rPr>
        <w:t>One-time, daily, weekly, monthly, seasonal or irregular frequency.</w:t>
      </w:r>
    </w:p>
    <w:p>
      <w:pPr>
        <w:pStyle w:val="ListBullet"/>
        <w:spacing w:after="80" w:line="300" w:lineRule="auto"/>
        <w:ind w:left="540" w:hanging="271"/>
      </w:pPr>
      <w:r>
        <w:rPr>
          <w:rFonts w:ascii="Calibri" w:hAnsi="Calibri"/>
          <w:b w:val="0"/>
          <w:i w:val="0"/>
          <w:color w:val="202722"/>
          <w:sz w:val="22"/>
        </w:rPr>
        <w:t>Expected amount and date versus amount actually received.</w:t>
      </w:r>
    </w:p>
    <w:p>
      <w:pPr>
        <w:pStyle w:val="ListBullet"/>
        <w:spacing w:after="80" w:line="300" w:lineRule="auto"/>
        <w:ind w:left="540" w:hanging="271"/>
      </w:pPr>
      <w:r>
        <w:rPr>
          <w:rFonts w:ascii="Calibri" w:hAnsi="Calibri"/>
          <w:b w:val="0"/>
          <w:i w:val="0"/>
          <w:color w:val="202722"/>
          <w:sz w:val="22"/>
        </w:rPr>
        <w:t>Outstanding payments from a person or company.</w:t>
      </w:r>
    </w:p>
    <w:p>
      <w:pPr>
        <w:pStyle w:val="ListBullet"/>
        <w:spacing w:after="80" w:line="300" w:lineRule="auto"/>
        <w:ind w:left="540" w:hanging="271"/>
      </w:pPr>
      <w:r>
        <w:rPr>
          <w:rFonts w:ascii="Calibri" w:hAnsi="Calibri"/>
          <w:b w:val="0"/>
          <w:i w:val="0"/>
          <w:color w:val="202722"/>
          <w:sz w:val="22"/>
        </w:rPr>
        <w:t>Income assigned immediately to a purpose, such as school fees.</w:t>
      </w:r>
    </w:p>
    <w:p>
      <w:pPr>
        <w:pStyle w:val="ListBullet"/>
        <w:spacing w:after="80" w:line="300" w:lineRule="auto"/>
        <w:ind w:left="540" w:hanging="271"/>
      </w:pPr>
      <w:r>
        <w:rPr>
          <w:rFonts w:ascii="Calibri" w:hAnsi="Calibri"/>
          <w:b w:val="0"/>
          <w:i w:val="0"/>
          <w:color w:val="202722"/>
          <w:sz w:val="22"/>
        </w:rPr>
        <w:t>Business versus personal income separation.</w:t>
      </w:r>
    </w:p>
    <w:p>
      <w:pPr>
        <w:pStyle w:val="ListBullet"/>
        <w:spacing w:after="80" w:line="300" w:lineRule="auto"/>
        <w:ind w:left="540" w:hanging="271"/>
      </w:pPr>
      <w:r>
        <w:rPr>
          <w:rFonts w:ascii="Calibri" w:hAnsi="Calibri"/>
          <w:b w:val="0"/>
          <w:i w:val="0"/>
          <w:color w:val="202722"/>
          <w:sz w:val="22"/>
        </w:rPr>
        <w:t>Original currency and home-currency estimate.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Critical rule: </w:t>
            </w:r>
            <w:r>
              <w:rPr>
                <w:rFonts w:ascii="Calibri" w:hAnsi="Calibri"/>
                <w:b w:val="0"/>
                <w:i w:val="0"/>
                <w:color w:val="202722"/>
                <w:sz w:val="22"/>
              </w:rPr>
              <w:t>Expected income must never be treated as available spending money until the user confirms that it was received.</w:t>
            </w:r>
          </w:p>
        </w:tc>
        <w:trPr>
          <w:tblHeader/>
        </w:trPr>
      </w:tr>
    </w:tbl>
    <w:p>
      <w:pPr>
        <w:spacing w:after="40"/>
      </w:pPr>
    </w:p>
    <w:p>
      <w:pPr>
        <w:pStyle w:val="Heading1"/>
        <w:keepNext/>
      </w:pPr>
      <w:r>
        <w:rPr>
          <w:rFonts w:ascii="Calibri" w:hAnsi="Calibri"/>
          <w:b/>
          <w:i w:val="0"/>
          <w:color w:val="0E573D"/>
          <w:sz w:val="32"/>
        </w:rPr>
        <w:t>10. Expense, Bill and Subscription Tracking</w:t>
      </w:r>
    </w:p>
    <w:p>
      <w:pPr>
        <w:spacing w:before="0" w:after="120" w:line="300" w:lineRule="auto"/>
      </w:pPr>
      <w:r>
        <w:rPr>
          <w:rFonts w:ascii="Calibri" w:hAnsi="Calibri"/>
          <w:b w:val="0"/>
          <w:i w:val="0"/>
          <w:color w:val="202722"/>
          <w:sz w:val="22"/>
        </w:rPr>
        <w:t>Expenditure includes one-time spending, recurring obligations and optional subscriptions. Users may create custom categories and correct mistakes.</w:t>
      </w:r>
    </w:p>
    <w:p>
      <w:pPr>
        <w:pStyle w:val="ListBullet"/>
        <w:spacing w:after="80" w:line="300" w:lineRule="auto"/>
        <w:ind w:left="540" w:hanging="271"/>
      </w:pPr>
      <w:r>
        <w:rPr>
          <w:rFonts w:ascii="Calibri" w:hAnsi="Calibri"/>
          <w:b w:val="0"/>
          <w:i w:val="0"/>
          <w:color w:val="202722"/>
          <w:sz w:val="22"/>
        </w:rPr>
        <w:t>Essentials: food, rent, transport, electricity, water, school fees and medical needs.</w:t>
      </w:r>
    </w:p>
    <w:p>
      <w:pPr>
        <w:pStyle w:val="ListBullet"/>
        <w:spacing w:after="80" w:line="300" w:lineRule="auto"/>
        <w:ind w:left="540" w:hanging="271"/>
      </w:pPr>
      <w:r>
        <w:rPr>
          <w:rFonts w:ascii="Calibri" w:hAnsi="Calibri"/>
          <w:b w:val="0"/>
          <w:i w:val="0"/>
          <w:color w:val="202722"/>
          <w:sz w:val="22"/>
        </w:rPr>
        <w:t>Commitments: loan repayments, insurance, support for dependants and recurring bills.</w:t>
      </w:r>
    </w:p>
    <w:p>
      <w:pPr>
        <w:pStyle w:val="ListBullet"/>
        <w:spacing w:after="80" w:line="300" w:lineRule="auto"/>
        <w:ind w:left="540" w:hanging="271"/>
      </w:pPr>
      <w:r>
        <w:rPr>
          <w:rFonts w:ascii="Calibri" w:hAnsi="Calibri"/>
          <w:b w:val="0"/>
          <w:i w:val="0"/>
          <w:color w:val="202722"/>
          <w:sz w:val="22"/>
        </w:rPr>
        <w:t>Subscriptions: Netflix, Spotify, software, clubs and any custom service.</w:t>
      </w:r>
    </w:p>
    <w:p>
      <w:pPr>
        <w:pStyle w:val="ListBullet"/>
        <w:spacing w:after="80" w:line="300" w:lineRule="auto"/>
        <w:ind w:left="540" w:hanging="271"/>
      </w:pPr>
      <w:r>
        <w:rPr>
          <w:rFonts w:ascii="Calibri" w:hAnsi="Calibri"/>
          <w:b w:val="0"/>
          <w:i w:val="0"/>
          <w:color w:val="202722"/>
          <w:sz w:val="22"/>
        </w:rPr>
        <w:t>Flexible spending: entertainment, takeaway food, airtime, personal shopping and other categories.</w:t>
      </w:r>
    </w:p>
    <w:p>
      <w:pPr>
        <w:pStyle w:val="ListBullet"/>
        <w:spacing w:after="80" w:line="300" w:lineRule="auto"/>
        <w:ind w:left="540" w:hanging="271"/>
      </w:pPr>
      <w:r>
        <w:rPr>
          <w:rFonts w:ascii="Calibri" w:hAnsi="Calibri"/>
          <w:b w:val="0"/>
          <w:i w:val="0"/>
          <w:color w:val="202722"/>
          <w:sz w:val="22"/>
        </w:rPr>
        <w:t>Transaction corrections: edit, delete, duplicate, refund, recategorise, add a note or change the date.</w:t>
      </w:r>
    </w:p>
    <w:p>
      <w:pPr>
        <w:pStyle w:val="ListBullet"/>
        <w:spacing w:after="80" w:line="300" w:lineRule="auto"/>
        <w:ind w:left="540" w:hanging="271"/>
      </w:pPr>
      <w:r>
        <w:rPr>
          <w:rFonts w:ascii="Calibri" w:hAnsi="Calibri"/>
          <w:b w:val="0"/>
          <w:i w:val="0"/>
          <w:color w:val="202722"/>
          <w:sz w:val="22"/>
        </w:rPr>
        <w:t>Transfers: moving money between cash, mobile money, a bank or savings location is not an expense.</w:t>
      </w:r>
    </w:p>
    <w:p>
      <w:pPr>
        <w:pStyle w:val="Heading2"/>
        <w:keepNext/>
      </w:pPr>
      <w:r>
        <w:rPr>
          <w:rFonts w:ascii="Calibri" w:hAnsi="Calibri"/>
          <w:b/>
          <w:i w:val="0"/>
          <w:color w:val="0E573D"/>
          <w:sz w:val="26"/>
        </w:rPr>
        <w:t>Expense priority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0E573D"/>
            <w:vAlign w:val="center"/>
          </w:tcPr>
          <w:p>
            <w:pPr>
              <w:spacing w:after="0"/>
            </w:pPr>
            <w:r>
              <w:rPr>
                <w:rFonts w:ascii="Calibri" w:hAnsi="Calibri"/>
                <w:b/>
                <w:i w:val="0"/>
                <w:color w:val="FFFFFF"/>
                <w:sz w:val="20"/>
              </w:rPr>
              <w:t>Priority</w:t>
            </w:r>
          </w:p>
        </w:tc>
        <w:tc>
          <w:tcPr>
            <w:tcW w:type="dxa" w:w="7160"/>
            <w:tcMar>
              <w:top w:w="80" w:type="dxa"/>
              <w:start w:w="120" w:type="dxa"/>
              <w:bottom w:w="80" w:type="dxa"/>
              <w:end w:w="120" w:type="dxa"/>
            </w:tcMar>
            <w:shd w:fill="0E573D"/>
            <w:vAlign w:val="center"/>
          </w:tcPr>
          <w:p>
            <w:pPr>
              <w:spacing w:after="0"/>
            </w:pPr>
            <w:r>
              <w:rPr>
                <w:rFonts w:ascii="Calibri" w:hAnsi="Calibri"/>
                <w:b/>
                <w:i w:val="0"/>
                <w:color w:val="FFFFFF"/>
                <w:sz w:val="20"/>
              </w:rPr>
              <w:t>Meaning</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202722"/>
                <w:sz w:val="19"/>
              </w:rPr>
              <w:t>Must pay</w:t>
            </w:r>
          </w:p>
        </w:tc>
        <w:tc>
          <w:tcPr>
            <w:tcW w:type="dxa" w:w="7160"/>
            <w:vAlign w:val="center"/>
            <w:tcMar>
              <w:top w:w="80" w:type="dxa"/>
              <w:start w:w="120" w:type="dxa"/>
              <w:bottom w:w="80" w:type="dxa"/>
              <w:end w:w="120" w:type="dxa"/>
            </w:tcMar>
          </w:tcPr>
          <w:p>
            <w:pPr>
              <w:spacing w:after="0" w:line="264" w:lineRule="auto"/>
            </w:pPr>
            <w:r>
              <w:rPr>
                <w:rFonts w:ascii="Calibri" w:hAnsi="Calibri"/>
                <w:b w:val="0"/>
                <w:i w:val="0"/>
                <w:color w:val="202722"/>
                <w:sz w:val="19"/>
              </w:rPr>
              <w:t>Essential or legally/contractually due; protect before optional spending.</w:t>
            </w:r>
          </w:p>
        </w:tc>
      </w:tr>
      <w:tr>
        <w:tc>
          <w:tcPr>
            <w:tcW w:type="dxa" w:w="22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Important</w:t>
            </w:r>
          </w:p>
        </w:tc>
        <w:tc>
          <w:tcPr>
            <w:tcW w:type="dxa" w:w="71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Should be funded where possible but may be adjustable.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202722"/>
                <w:sz w:val="19"/>
              </w:rPr>
              <w:t>Flexible</w:t>
            </w:r>
          </w:p>
        </w:tc>
        <w:tc>
          <w:tcPr>
            <w:tcW w:type="dxa" w:w="7160"/>
            <w:vAlign w:val="center"/>
            <w:tcMar>
              <w:top w:w="80" w:type="dxa"/>
              <w:start w:w="120" w:type="dxa"/>
              <w:bottom w:w="80" w:type="dxa"/>
              <w:end w:w="120" w:type="dxa"/>
            </w:tcMar>
          </w:tcPr>
          <w:p>
            <w:pPr>
              <w:spacing w:after="0" w:line="264" w:lineRule="auto"/>
            </w:pPr>
            <w:r>
              <w:rPr>
                <w:rFonts w:ascii="Calibri" w:hAnsi="Calibri"/>
                <w:b w:val="0"/>
                <w:i w:val="0"/>
                <w:color w:val="202722"/>
                <w:sz w:val="19"/>
              </w:rPr>
              <w:t>Amount or timing can be changed.</w:t>
            </w:r>
          </w:p>
        </w:tc>
      </w:tr>
      <w:tr>
        <w:tc>
          <w:tcPr>
            <w:tcW w:type="dxa" w:w="22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Optional</w:t>
            </w:r>
          </w:p>
        </w:tc>
        <w:tc>
          <w:tcPr>
            <w:tcW w:type="dxa" w:w="71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A candidate for reduction, pause or cancellation.</w:t>
            </w:r>
          </w:p>
        </w:tc>
      </w:tr>
    </w:tbl>
    <w:p>
      <w:pPr>
        <w:spacing w:after="40"/>
      </w:pPr>
    </w:p>
    <w:p>
      <w:pPr>
        <w:pStyle w:val="Heading1"/>
        <w:keepNext/>
      </w:pPr>
      <w:r>
        <w:rPr>
          <w:rFonts w:ascii="Calibri" w:hAnsi="Calibri"/>
          <w:b/>
          <w:i w:val="0"/>
          <w:color w:val="0E573D"/>
          <w:sz w:val="32"/>
        </w:rPr>
        <w:t>11. Budgeting and Cash-Flow Planning</w:t>
      </w:r>
    </w:p>
    <w:p>
      <w:pPr>
        <w:spacing w:before="0" w:after="120" w:line="300" w:lineRule="auto"/>
      </w:pPr>
      <w:r>
        <w:rPr>
          <w:rFonts w:ascii="Calibri" w:hAnsi="Calibri"/>
          <w:b w:val="0"/>
          <w:i w:val="0"/>
          <w:color w:val="202722"/>
          <w:sz w:val="22"/>
        </w:rPr>
        <w:t>Sunga should protect upcoming obligations before presenting money as available. It should show not only monthly totals but also timing.</w:t>
      </w:r>
    </w:p>
    <w:p>
      <w:pPr>
        <w:pStyle w:val="ListBullet"/>
        <w:spacing w:after="80" w:line="300" w:lineRule="auto"/>
        <w:ind w:left="540" w:hanging="271"/>
      </w:pPr>
      <w:r>
        <w:rPr>
          <w:rFonts w:ascii="Calibri" w:hAnsi="Calibri"/>
          <w:b w:val="0"/>
          <w:i w:val="0"/>
          <w:color w:val="202722"/>
          <w:sz w:val="22"/>
        </w:rPr>
        <w:t>Total received income, essential expenses, flexible expenses, savings and money remaining.</w:t>
      </w:r>
    </w:p>
    <w:p>
      <w:pPr>
        <w:pStyle w:val="ListBullet"/>
        <w:spacing w:after="80" w:line="300" w:lineRule="auto"/>
        <w:ind w:left="540" w:hanging="271"/>
      </w:pPr>
      <w:r>
        <w:rPr>
          <w:rFonts w:ascii="Calibri" w:hAnsi="Calibri"/>
          <w:b w:val="0"/>
          <w:i w:val="0"/>
          <w:color w:val="202722"/>
          <w:sz w:val="22"/>
        </w:rPr>
        <w:t>Calendar of expected income, bill due dates and planned savings.</w:t>
      </w:r>
    </w:p>
    <w:p>
      <w:pPr>
        <w:pStyle w:val="ListBullet"/>
        <w:spacing w:after="80" w:line="300" w:lineRule="auto"/>
        <w:ind w:left="540" w:hanging="271"/>
      </w:pPr>
      <w:r>
        <w:rPr>
          <w:rFonts w:ascii="Calibri" w:hAnsi="Calibri"/>
          <w:b w:val="0"/>
          <w:i w:val="0"/>
          <w:color w:val="202722"/>
          <w:sz w:val="22"/>
        </w:rPr>
        <w:t>Forecast low-money periods before the next income arrives.</w:t>
      </w:r>
    </w:p>
    <w:p>
      <w:pPr>
        <w:pStyle w:val="ListBullet"/>
        <w:spacing w:after="80" w:line="300" w:lineRule="auto"/>
        <w:ind w:left="540" w:hanging="271"/>
      </w:pPr>
      <w:r>
        <w:rPr>
          <w:rFonts w:ascii="Calibri" w:hAnsi="Calibri"/>
          <w:b w:val="0"/>
          <w:i w:val="0"/>
          <w:color w:val="202722"/>
          <w:sz w:val="22"/>
        </w:rPr>
        <w:t>“I only have K___” planning for immediate prioritisation.</w:t>
      </w:r>
    </w:p>
    <w:p>
      <w:pPr>
        <w:pStyle w:val="ListBullet"/>
        <w:spacing w:after="80" w:line="300" w:lineRule="auto"/>
        <w:ind w:left="540" w:hanging="271"/>
      </w:pPr>
      <w:r>
        <w:rPr>
          <w:rFonts w:ascii="Calibri" w:hAnsi="Calibri"/>
          <w:b w:val="0"/>
          <w:i w:val="0"/>
          <w:color w:val="202722"/>
          <w:sz w:val="22"/>
        </w:rPr>
        <w:t>Envelopes or allocations for needs, goals and free-to-spend money.</w:t>
      </w:r>
    </w:p>
    <w:p>
      <w:pPr>
        <w:pStyle w:val="ListBullet"/>
        <w:spacing w:after="80" w:line="300" w:lineRule="auto"/>
        <w:ind w:left="540" w:hanging="271"/>
      </w:pPr>
      <w:r>
        <w:rPr>
          <w:rFonts w:ascii="Calibri" w:hAnsi="Calibri"/>
          <w:b w:val="0"/>
          <w:i w:val="0"/>
          <w:color w:val="202722"/>
          <w:sz w:val="22"/>
        </w:rPr>
        <w:t>A “My financial situation has changed” flow after job loss, illness, crop failure or an unexpected bill.</w:t>
      </w:r>
    </w:p>
    <w:p>
      <w:pPr>
        <w:pStyle w:val="Heading1"/>
        <w:keepNext/>
      </w:pPr>
      <w:r>
        <w:rPr>
          <w:rFonts w:ascii="Calibri" w:hAnsi="Calibri"/>
          <w:b/>
          <w:i w:val="0"/>
          <w:color w:val="0E573D"/>
          <w:sz w:val="32"/>
        </w:rPr>
        <w:t>12. Savings Goals</w:t>
      </w:r>
    </w:p>
    <w:p>
      <w:pPr>
        <w:spacing w:before="0" w:after="120" w:line="300" w:lineRule="auto"/>
      </w:pPr>
      <w:r>
        <w:rPr>
          <w:rFonts w:ascii="Calibri" w:hAnsi="Calibri"/>
          <w:b w:val="0"/>
          <w:i w:val="0"/>
          <w:color w:val="202722"/>
          <w:sz w:val="22"/>
        </w:rPr>
        <w:t>Savings are central to Sunga. A user may create a goal without recording income or expenditure. The goal may have a fixed target, a flexible target or no final amount.</w:t>
      </w:r>
    </w:p>
    <w:p>
      <w:pPr>
        <w:pStyle w:val="Heading2"/>
        <w:keepNext/>
      </w:pPr>
      <w:r>
        <w:rPr>
          <w:rFonts w:ascii="Calibri" w:hAnsi="Calibri"/>
          <w:b/>
          <w:i w:val="0"/>
          <w:color w:val="0E573D"/>
          <w:sz w:val="26"/>
        </w:rPr>
        <w:t>Goal information</w:t>
      </w:r>
    </w:p>
    <w:p>
      <w:pPr>
        <w:pStyle w:val="ListBullet"/>
        <w:spacing w:after="80" w:line="300" w:lineRule="auto"/>
        <w:ind w:left="540" w:hanging="271"/>
      </w:pPr>
      <w:r>
        <w:rPr>
          <w:rFonts w:ascii="Calibri" w:hAnsi="Calibri"/>
          <w:b w:val="0"/>
          <w:i w:val="0"/>
          <w:color w:val="202722"/>
          <w:sz w:val="22"/>
        </w:rPr>
        <w:t>Purpose: TV, vehicle, house, school fees, business, emergency fund or custom.</w:t>
      </w:r>
    </w:p>
    <w:p>
      <w:pPr>
        <w:pStyle w:val="ListBullet"/>
        <w:spacing w:after="80" w:line="300" w:lineRule="auto"/>
        <w:ind w:left="540" w:hanging="271"/>
      </w:pPr>
      <w:r>
        <w:rPr>
          <w:rFonts w:ascii="Calibri" w:hAnsi="Calibri"/>
          <w:b w:val="0"/>
          <w:i w:val="0"/>
          <w:color w:val="202722"/>
          <w:sz w:val="22"/>
        </w:rPr>
        <w:t>Target amount, amount already saved and optional target date.</w:t>
      </w:r>
    </w:p>
    <w:p>
      <w:pPr>
        <w:pStyle w:val="ListBullet"/>
        <w:spacing w:after="80" w:line="300" w:lineRule="auto"/>
        <w:ind w:left="540" w:hanging="271"/>
      </w:pPr>
      <w:r>
        <w:rPr>
          <w:rFonts w:ascii="Calibri" w:hAnsi="Calibri"/>
          <w:b w:val="0"/>
          <w:i w:val="0"/>
          <w:color w:val="202722"/>
          <w:sz w:val="22"/>
        </w:rPr>
        <w:t>Daily, weekly, monthly, payday, percentage-of-income or flexible contribution method.</w:t>
      </w:r>
    </w:p>
    <w:p>
      <w:pPr>
        <w:pStyle w:val="ListBullet"/>
        <w:spacing w:after="80" w:line="300" w:lineRule="auto"/>
        <w:ind w:left="540" w:hanging="271"/>
      </w:pPr>
      <w:r>
        <w:rPr>
          <w:rFonts w:ascii="Calibri" w:hAnsi="Calibri"/>
          <w:b w:val="0"/>
          <w:i w:val="0"/>
          <w:color w:val="202722"/>
          <w:sz w:val="22"/>
        </w:rPr>
        <w:t>Priority: Essential, Important or Nice to have.</w:t>
      </w:r>
    </w:p>
    <w:p>
      <w:pPr>
        <w:pStyle w:val="ListBullet"/>
        <w:spacing w:after="80" w:line="300" w:lineRule="auto"/>
        <w:ind w:left="540" w:hanging="271"/>
      </w:pPr>
      <w:r>
        <w:rPr>
          <w:rFonts w:ascii="Calibri" w:hAnsi="Calibri"/>
          <w:b w:val="0"/>
          <w:i w:val="0"/>
          <w:color w:val="202722"/>
          <w:sz w:val="22"/>
        </w:rPr>
        <w:t>Personal, shared family, child/teen or savings-group visibility.</w:t>
      </w:r>
    </w:p>
    <w:p>
      <w:pPr>
        <w:pStyle w:val="ListBullet"/>
        <w:spacing w:after="80" w:line="300" w:lineRule="auto"/>
        <w:ind w:left="540" w:hanging="271"/>
      </w:pPr>
      <w:r>
        <w:rPr>
          <w:rFonts w:ascii="Calibri" w:hAnsi="Calibri"/>
          <w:b w:val="0"/>
          <w:i w:val="0"/>
          <w:color w:val="202722"/>
          <w:sz w:val="22"/>
        </w:rPr>
        <w:t>Location: cash, mobile money, bank, chilimba/village banking group, trusted person or other.</w:t>
      </w:r>
    </w:p>
    <w:p>
      <w:pPr>
        <w:pStyle w:val="ListBullet"/>
        <w:spacing w:after="80" w:line="300" w:lineRule="auto"/>
        <w:ind w:left="540" w:hanging="271"/>
      </w:pPr>
      <w:r>
        <w:rPr>
          <w:rFonts w:ascii="Calibri" w:hAnsi="Calibri"/>
          <w:b w:val="0"/>
          <w:i w:val="0"/>
          <w:color w:val="202722"/>
          <w:sz w:val="22"/>
        </w:rPr>
        <w:t>Pause, resume, update target price or close the goal without losing history.</w:t>
      </w:r>
    </w:p>
    <w:p>
      <w:pPr>
        <w:pStyle w:val="Heading2"/>
        <w:keepNext/>
      </w:pPr>
      <w:r>
        <w:rPr>
          <w:rFonts w:ascii="Calibri" w:hAnsi="Calibri"/>
          <w:b/>
          <w:i w:val="0"/>
          <w:color w:val="0E573D"/>
          <w:sz w:val="26"/>
        </w:rPr>
        <w:t>Savings planning</w:t>
      </w:r>
    </w:p>
    <w:p>
      <w:pPr>
        <w:spacing w:before="0" w:after="120" w:line="300" w:lineRule="auto"/>
      </w:pPr>
      <w:r>
        <w:rPr>
          <w:rFonts w:ascii="Calibri" w:hAnsi="Calibri"/>
          <w:b w:val="0"/>
          <w:i w:val="0"/>
          <w:color w:val="202722"/>
          <w:sz w:val="22"/>
        </w:rPr>
        <w:t>Sunga can calculate the contribution required for several schedules. When complete income and expenses are available, it may recommend an affordable contribution. When they are unavailable, it must label the calculation as a target requirement rather than an affordability judgement.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Honest savings-only message: </w:t>
            </w:r>
            <w:r>
              <w:rPr>
                <w:rFonts w:ascii="Calibri" w:hAnsi="Calibri"/>
                <w:b w:val="0"/>
                <w:i w:val="0"/>
                <w:color w:val="202722"/>
                <w:sz w:val="22"/>
              </w:rPr>
              <w:t>Saving K500 monthly would reach this goal in 12 months. Because you have not added income or expenses, Sunga cannot confirm whether K500 fits your budget.</w:t>
            </w:r>
          </w:p>
        </w:tc>
        <w:trPr>
          <w:tblHeader/>
        </w:trPr>
      </w:tr>
    </w:tbl>
    <w:p>
      <w:pPr>
        <w:spacing w:after="40"/>
      </w:pPr>
    </w:p>
    <w:p>
      <w:pPr>
        <w:pStyle w:val="Heading2"/>
        <w:keepNext/>
      </w:pPr>
      <w:r>
        <w:rPr>
          <w:rFonts w:ascii="Calibri" w:hAnsi="Calibri"/>
          <w:b/>
          <w:i w:val="0"/>
          <w:color w:val="0E573D"/>
          <w:sz w:val="26"/>
        </w:rPr>
        <w:t>Deposits, withdrawals and missed contributions</w:t>
      </w:r>
    </w:p>
    <w:p>
      <w:pPr>
        <w:pStyle w:val="ListBullet"/>
        <w:spacing w:after="80" w:line="300" w:lineRule="auto"/>
        <w:ind w:left="540" w:hanging="271"/>
      </w:pPr>
      <w:r>
        <w:rPr>
          <w:rFonts w:ascii="Calibri" w:hAnsi="Calibri"/>
          <w:b w:val="0"/>
          <w:i w:val="0"/>
          <w:color w:val="202722"/>
          <w:sz w:val="22"/>
        </w:rPr>
        <w:t>Record every deposit with amount, date, location and optional note.</w:t>
      </w:r>
    </w:p>
    <w:p>
      <w:pPr>
        <w:pStyle w:val="ListBullet"/>
        <w:spacing w:after="80" w:line="300" w:lineRule="auto"/>
        <w:ind w:left="540" w:hanging="271"/>
      </w:pPr>
      <w:r>
        <w:rPr>
          <w:rFonts w:ascii="Calibri" w:hAnsi="Calibri"/>
          <w:b w:val="0"/>
          <w:i w:val="0"/>
          <w:color w:val="202722"/>
          <w:sz w:val="22"/>
        </w:rPr>
        <w:t>Record withdrawals without deleting the earlier contribution history.</w:t>
      </w:r>
    </w:p>
    <w:p>
      <w:pPr>
        <w:pStyle w:val="ListBullet"/>
        <w:spacing w:after="80" w:line="300" w:lineRule="auto"/>
        <w:ind w:left="540" w:hanging="271"/>
      </w:pPr>
      <w:r>
        <w:rPr>
          <w:rFonts w:ascii="Calibri" w:hAnsi="Calibri"/>
          <w:b w:val="0"/>
          <w:i w:val="0"/>
          <w:color w:val="202722"/>
          <w:sz w:val="22"/>
        </w:rPr>
        <w:t>After a missed contribution, offer: catch up gradually, extend the date, reduce the target or skip.</w:t>
      </w:r>
    </w:p>
    <w:p>
      <w:pPr>
        <w:pStyle w:val="ListBullet"/>
        <w:spacing w:after="80" w:line="300" w:lineRule="auto"/>
        <w:ind w:left="540" w:hanging="271"/>
      </w:pPr>
      <w:r>
        <w:rPr>
          <w:rFonts w:ascii="Calibri" w:hAnsi="Calibri"/>
          <w:b w:val="0"/>
          <w:i w:val="0"/>
          <w:color w:val="202722"/>
          <w:sz w:val="22"/>
        </w:rPr>
        <w:t>Recalculate after income, expenses, target price or exchange rate changes.</w:t>
      </w:r>
    </w:p>
    <w:p>
      <w:pPr>
        <w:pStyle w:val="ListBullet"/>
        <w:spacing w:after="80" w:line="300" w:lineRule="auto"/>
        <w:ind w:left="540" w:hanging="271"/>
      </w:pPr>
      <w:r>
        <w:rPr>
          <w:rFonts w:ascii="Calibri" w:hAnsi="Calibri"/>
          <w:b w:val="0"/>
          <w:i w:val="0"/>
          <w:color w:val="202722"/>
          <w:sz w:val="22"/>
        </w:rPr>
        <w:t>Celebrate milestones such as the first contribution, 25%, 50% and completion without manipulative streak pressure.</w:t>
      </w:r>
    </w:p>
    <w:p>
      <w:pPr>
        <w:pStyle w:val="Heading1"/>
        <w:keepNext/>
      </w:pPr>
      <w:r>
        <w:rPr>
          <w:rFonts w:ascii="Calibri" w:hAnsi="Calibri"/>
          <w:b/>
          <w:i w:val="0"/>
          <w:color w:val="0E573D"/>
          <w:sz w:val="32"/>
        </w:rPr>
        <w:t>13. Emergency Funds, Debts and Money Owed</w:t>
      </w:r>
    </w:p>
    <w:p>
      <w:pPr>
        <w:pStyle w:val="Heading2"/>
        <w:keepNext/>
      </w:pPr>
      <w:r>
        <w:rPr>
          <w:rFonts w:ascii="Calibri" w:hAnsi="Calibri"/>
          <w:b/>
          <w:i w:val="0"/>
          <w:color w:val="0E573D"/>
          <w:sz w:val="26"/>
        </w:rPr>
        <w:t>Emergency fund</w:t>
      </w:r>
    </w:p>
    <w:p>
      <w:pPr>
        <w:spacing w:before="0" w:after="120" w:line="300" w:lineRule="auto"/>
      </w:pPr>
      <w:r>
        <w:rPr>
          <w:rFonts w:ascii="Calibri" w:hAnsi="Calibri"/>
          <w:b w:val="0"/>
          <w:i w:val="0"/>
          <w:color w:val="202722"/>
          <w:sz w:val="22"/>
        </w:rPr>
        <w:t>Sunga should gently recommend an emergency buffer without blocking other goals. Milestones can begin at a small amount, then one week of essential expenses, and later a larger reserve appropriate to the household.</w:t>
      </w:r>
    </w:p>
    <w:p>
      <w:pPr>
        <w:pStyle w:val="Heading2"/>
        <w:keepNext/>
      </w:pPr>
      <w:r>
        <w:rPr>
          <w:rFonts w:ascii="Calibri" w:hAnsi="Calibri"/>
          <w:b/>
          <w:i w:val="0"/>
          <w:color w:val="0E573D"/>
          <w:sz w:val="26"/>
        </w:rPr>
        <w:t>Debt tracking</w:t>
      </w:r>
    </w:p>
    <w:p>
      <w:pPr>
        <w:pStyle w:val="ListBullet"/>
        <w:spacing w:after="80" w:line="300" w:lineRule="auto"/>
        <w:ind w:left="540" w:hanging="271"/>
      </w:pPr>
      <w:r>
        <w:rPr>
          <w:rFonts w:ascii="Calibri" w:hAnsi="Calibri"/>
          <w:b w:val="0"/>
          <w:i w:val="0"/>
          <w:color w:val="202722"/>
          <w:sz w:val="22"/>
        </w:rPr>
        <w:t>Lender or person owed, original amount, remaining balance and interest if applicable.</w:t>
      </w:r>
    </w:p>
    <w:p>
      <w:pPr>
        <w:pStyle w:val="ListBullet"/>
        <w:spacing w:after="80" w:line="300" w:lineRule="auto"/>
        <w:ind w:left="540" w:hanging="271"/>
      </w:pPr>
      <w:r>
        <w:rPr>
          <w:rFonts w:ascii="Calibri" w:hAnsi="Calibri"/>
          <w:b w:val="0"/>
          <w:i w:val="0"/>
          <w:color w:val="202722"/>
          <w:sz w:val="22"/>
        </w:rPr>
        <w:t>Payment amount, frequency and due date.</w:t>
      </w:r>
    </w:p>
    <w:p>
      <w:pPr>
        <w:pStyle w:val="ListBullet"/>
        <w:spacing w:after="80" w:line="300" w:lineRule="auto"/>
        <w:ind w:left="540" w:hanging="271"/>
      </w:pPr>
      <w:r>
        <w:rPr>
          <w:rFonts w:ascii="Calibri" w:hAnsi="Calibri"/>
          <w:b w:val="0"/>
          <w:i w:val="0"/>
          <w:color w:val="202722"/>
          <w:sz w:val="22"/>
        </w:rPr>
        <w:t>Money other people owe the user.</w:t>
      </w:r>
    </w:p>
    <w:p>
      <w:pPr>
        <w:pStyle w:val="ListBullet"/>
        <w:spacing w:after="80" w:line="300" w:lineRule="auto"/>
        <w:ind w:left="540" w:hanging="271"/>
      </w:pPr>
      <w:r>
        <w:rPr>
          <w:rFonts w:ascii="Calibri" w:hAnsi="Calibri"/>
          <w:b w:val="0"/>
          <w:i w:val="0"/>
          <w:color w:val="202722"/>
          <w:sz w:val="22"/>
        </w:rPr>
        <w:t>Comparison between additional debt payment and progress on a savings goal.</w:t>
      </w:r>
    </w:p>
    <w:p>
      <w:pPr>
        <w:pStyle w:val="ListBullet"/>
        <w:spacing w:after="80" w:line="300" w:lineRule="auto"/>
        <w:ind w:left="540" w:hanging="271"/>
      </w:pPr>
      <w:r>
        <w:rPr>
          <w:rFonts w:ascii="Calibri" w:hAnsi="Calibri"/>
          <w:b w:val="0"/>
          <w:i w:val="0"/>
          <w:color w:val="202722"/>
          <w:sz w:val="22"/>
        </w:rPr>
        <w:t>No recommendation that threatens food, medication, housing or another essential need.</w:t>
      </w:r>
    </w:p>
    <w:p>
      <w:pPr>
        <w:pStyle w:val="Heading1"/>
        <w:keepNext/>
      </w:pPr>
      <w:r>
        <w:rPr>
          <w:rFonts w:ascii="Calibri" w:hAnsi="Calibri"/>
          <w:b/>
          <w:i w:val="0"/>
          <w:color w:val="0E573D"/>
          <w:sz w:val="32"/>
        </w:rPr>
        <w:t>14. Financial Guidance</w:t>
      </w:r>
    </w:p>
    <w:p>
      <w:pPr>
        <w:spacing w:before="0" w:after="120" w:line="300" w:lineRule="auto"/>
      </w:pPr>
      <w:r>
        <w:rPr>
          <w:rFonts w:ascii="Calibri" w:hAnsi="Calibri"/>
          <w:b w:val="0"/>
          <w:i w:val="0"/>
          <w:color w:val="202722"/>
          <w:sz w:val="22"/>
        </w:rPr>
        <w:t>Sunga provides optional educational guidance based on the records available. It never guarantees outcomes and never presents estimates as certainty.</w:t>
      </w:r>
    </w:p>
    <w:p>
      <w:pPr>
        <w:pStyle w:val="Heading2"/>
        <w:keepNext/>
      </w:pPr>
      <w:r>
        <w:rPr>
          <w:rFonts w:ascii="Calibri" w:hAnsi="Calibri"/>
          <w:b/>
          <w:i w:val="0"/>
          <w:color w:val="0E573D"/>
          <w:sz w:val="26"/>
        </w:rPr>
        <w:t>Examples</w:t>
      </w:r>
    </w:p>
    <w:p>
      <w:pPr>
        <w:pStyle w:val="ListBullet"/>
        <w:spacing w:after="80" w:line="300" w:lineRule="auto"/>
        <w:ind w:left="540" w:hanging="271"/>
      </w:pPr>
      <w:r>
        <w:rPr>
          <w:rFonts w:ascii="Calibri" w:hAnsi="Calibri"/>
          <w:b w:val="0"/>
          <w:i w:val="0"/>
          <w:color w:val="202722"/>
          <w:sz w:val="22"/>
        </w:rPr>
        <w:t>“Keep K40 for tomorrow's transport before spending the rest.”</w:t>
      </w:r>
    </w:p>
    <w:p>
      <w:pPr>
        <w:pStyle w:val="ListBullet"/>
        <w:spacing w:after="80" w:line="300" w:lineRule="auto"/>
        <w:ind w:left="540" w:hanging="271"/>
      </w:pPr>
      <w:r>
        <w:rPr>
          <w:rFonts w:ascii="Calibri" w:hAnsi="Calibri"/>
          <w:b w:val="0"/>
          <w:i w:val="0"/>
          <w:color w:val="202722"/>
          <w:sz w:val="22"/>
        </w:rPr>
        <w:t>“Your subscriptions total K320. Cancelling one K95 subscription could move your school-fees date closer.”</w:t>
      </w:r>
    </w:p>
    <w:p>
      <w:pPr>
        <w:pStyle w:val="ListBullet"/>
        <w:spacing w:after="80" w:line="300" w:lineRule="auto"/>
        <w:ind w:left="540" w:hanging="271"/>
      </w:pPr>
      <w:r>
        <w:rPr>
          <w:rFonts w:ascii="Calibri" w:hAnsi="Calibri"/>
          <w:b w:val="0"/>
          <w:i w:val="0"/>
          <w:color w:val="202722"/>
          <w:sz w:val="22"/>
        </w:rPr>
        <w:t>“Saving K1,000 monthly may leave too little for food and transport. Consider K600 and a later target date.”</w:t>
      </w:r>
    </w:p>
    <w:p>
      <w:pPr>
        <w:pStyle w:val="ListBullet"/>
        <w:spacing w:after="80" w:line="300" w:lineRule="auto"/>
        <w:ind w:left="540" w:hanging="271"/>
      </w:pPr>
      <w:r>
        <w:rPr>
          <w:rFonts w:ascii="Calibri" w:hAnsi="Calibri"/>
          <w:b w:val="0"/>
          <w:i w:val="0"/>
          <w:color w:val="202722"/>
          <w:sz w:val="22"/>
        </w:rPr>
        <w:t>“This week was different. Would you like to adjust the contribution or extend the date?”</w:t>
      </w:r>
    </w:p>
    <w:p>
      <w:pPr>
        <w:pStyle w:val="Heading2"/>
        <w:keepNext/>
      </w:pPr>
      <w:r>
        <w:rPr>
          <w:rFonts w:ascii="Calibri" w:hAnsi="Calibri"/>
          <w:b/>
          <w:i w:val="0"/>
          <w:color w:val="0E573D"/>
          <w:sz w:val="26"/>
        </w:rPr>
        <w:t>Advice controls</w:t>
      </w:r>
    </w:p>
    <w:p>
      <w:pPr>
        <w:pStyle w:val="ListBullet"/>
        <w:spacing w:after="80" w:line="300" w:lineRule="auto"/>
        <w:ind w:left="540" w:hanging="271"/>
      </w:pPr>
      <w:r>
        <w:rPr>
          <w:rFonts w:ascii="Calibri" w:hAnsi="Calibri"/>
          <w:b w:val="0"/>
          <w:i w:val="0"/>
          <w:color w:val="202722"/>
          <w:sz w:val="22"/>
        </w:rPr>
        <w:t>Every suggestion explains why it appeared and which records were used.</w:t>
      </w:r>
    </w:p>
    <w:p>
      <w:pPr>
        <w:pStyle w:val="ListBullet"/>
        <w:spacing w:after="80" w:line="300" w:lineRule="auto"/>
        <w:ind w:left="540" w:hanging="271"/>
      </w:pPr>
      <w:r>
        <w:rPr>
          <w:rFonts w:ascii="Calibri" w:hAnsi="Calibri"/>
          <w:b w:val="0"/>
          <w:i w:val="0"/>
          <w:color w:val="202722"/>
          <w:sz w:val="22"/>
        </w:rPr>
        <w:t>The user can Keep, Reduce, Cancel, Adjust, Dismiss or Remind me later.</w:t>
      </w:r>
    </w:p>
    <w:p>
      <w:pPr>
        <w:pStyle w:val="ListBullet"/>
        <w:spacing w:after="80" w:line="300" w:lineRule="auto"/>
        <w:ind w:left="540" w:hanging="271"/>
      </w:pPr>
      <w:r>
        <w:rPr>
          <w:rFonts w:ascii="Calibri" w:hAnsi="Calibri"/>
          <w:b w:val="0"/>
          <w:i w:val="0"/>
          <w:color w:val="202722"/>
          <w:sz w:val="22"/>
        </w:rPr>
        <w:t>Sunga never automatically cancels a service, moves money or changes a goal.</w:t>
      </w:r>
    </w:p>
    <w:p>
      <w:pPr>
        <w:pStyle w:val="ListBullet"/>
        <w:spacing w:after="80" w:line="300" w:lineRule="auto"/>
        <w:ind w:left="540" w:hanging="271"/>
      </w:pPr>
      <w:r>
        <w:rPr>
          <w:rFonts w:ascii="Calibri" w:hAnsi="Calibri"/>
          <w:b w:val="0"/>
          <w:i w:val="0"/>
          <w:color w:val="202722"/>
          <w:sz w:val="22"/>
        </w:rPr>
        <w:t>Recommendations must respect essential expenses and dependants.</w:t>
      </w:r>
    </w:p>
    <w:p>
      <w:pPr>
        <w:pStyle w:val="ListBullet"/>
        <w:spacing w:after="80" w:line="300" w:lineRule="auto"/>
        <w:ind w:left="540" w:hanging="271"/>
      </w:pPr>
      <w:r>
        <w:rPr>
          <w:rFonts w:ascii="Calibri" w:hAnsi="Calibri"/>
          <w:b w:val="0"/>
          <w:i w:val="0"/>
          <w:color w:val="202722"/>
          <w:sz w:val="22"/>
        </w:rPr>
        <w:t>Users can disable AI advice while retaining manual tracking.</w:t>
      </w:r>
    </w:p>
    <w:p>
      <w:pPr>
        <w:pStyle w:val="ListBullet"/>
        <w:spacing w:after="80" w:line="300" w:lineRule="auto"/>
        <w:ind w:left="540" w:hanging="271"/>
      </w:pPr>
      <w:r>
        <w:rPr>
          <w:rFonts w:ascii="Calibri" w:hAnsi="Calibri"/>
          <w:b w:val="0"/>
          <w:i w:val="0"/>
          <w:color w:val="202722"/>
          <w:sz w:val="22"/>
        </w:rPr>
        <w:t>The app uses supportive language and does not shame, frighten or create compulsive behaviour.</w:t>
      </w:r>
    </w:p>
    <w:p>
      <w:pPr>
        <w:pStyle w:val="Heading1"/>
        <w:keepNext/>
      </w:pPr>
      <w:r>
        <w:rPr>
          <w:rFonts w:ascii="Calibri" w:hAnsi="Calibri"/>
          <w:b/>
          <w:i w:val="0"/>
          <w:color w:val="0E573D"/>
          <w:sz w:val="32"/>
        </w:rPr>
        <w:t>15. “What If?” Planning</w:t>
      </w:r>
    </w:p>
    <w:p>
      <w:pPr>
        <w:pStyle w:val="ListBullet"/>
        <w:spacing w:after="80" w:line="300" w:lineRule="auto"/>
        <w:ind w:left="540" w:hanging="271"/>
      </w:pPr>
      <w:r>
        <w:rPr>
          <w:rFonts w:ascii="Calibri" w:hAnsi="Calibri"/>
          <w:b w:val="0"/>
          <w:i w:val="0"/>
          <w:color w:val="202722"/>
          <w:sz w:val="22"/>
        </w:rPr>
        <w:t>What if I cancel or reduce a subscription?</w:t>
      </w:r>
    </w:p>
    <w:p>
      <w:pPr>
        <w:pStyle w:val="ListBullet"/>
        <w:spacing w:after="80" w:line="300" w:lineRule="auto"/>
        <w:ind w:left="540" w:hanging="271"/>
      </w:pPr>
      <w:r>
        <w:rPr>
          <w:rFonts w:ascii="Calibri" w:hAnsi="Calibri"/>
          <w:b w:val="0"/>
          <w:i w:val="0"/>
          <w:color w:val="202722"/>
          <w:sz w:val="22"/>
        </w:rPr>
        <w:t>What if my income falls or arrives late?</w:t>
      </w:r>
    </w:p>
    <w:p>
      <w:pPr>
        <w:pStyle w:val="ListBullet"/>
        <w:spacing w:after="80" w:line="300" w:lineRule="auto"/>
        <w:ind w:left="540" w:hanging="271"/>
      </w:pPr>
      <w:r>
        <w:rPr>
          <w:rFonts w:ascii="Calibri" w:hAnsi="Calibri"/>
          <w:b w:val="0"/>
          <w:i w:val="0"/>
          <w:color w:val="202722"/>
          <w:sz w:val="22"/>
        </w:rPr>
        <w:t>What if I save a fixed amount versus a percentage?</w:t>
      </w:r>
    </w:p>
    <w:p>
      <w:pPr>
        <w:pStyle w:val="ListBullet"/>
        <w:spacing w:after="80" w:line="300" w:lineRule="auto"/>
        <w:ind w:left="540" w:hanging="271"/>
      </w:pPr>
      <w:r>
        <w:rPr>
          <w:rFonts w:ascii="Calibri" w:hAnsi="Calibri"/>
          <w:b w:val="0"/>
          <w:i w:val="0"/>
          <w:color w:val="202722"/>
          <w:sz w:val="22"/>
        </w:rPr>
        <w:t>What if I postpone an optional purchase?</w:t>
      </w:r>
    </w:p>
    <w:p>
      <w:pPr>
        <w:pStyle w:val="ListBullet"/>
        <w:spacing w:after="80" w:line="300" w:lineRule="auto"/>
        <w:ind w:left="540" w:hanging="271"/>
      </w:pPr>
      <w:r>
        <w:rPr>
          <w:rFonts w:ascii="Calibri" w:hAnsi="Calibri"/>
          <w:b w:val="0"/>
          <w:i w:val="0"/>
          <w:color w:val="202722"/>
          <w:sz w:val="22"/>
        </w:rPr>
        <w:t>What if the goal price or exchange rate changes?</w:t>
      </w:r>
    </w:p>
    <w:p>
      <w:pPr>
        <w:pStyle w:val="ListBullet"/>
        <w:spacing w:after="80" w:line="300" w:lineRule="auto"/>
        <w:ind w:left="540" w:hanging="271"/>
      </w:pPr>
      <w:r>
        <w:rPr>
          <w:rFonts w:ascii="Calibri" w:hAnsi="Calibri"/>
          <w:b w:val="0"/>
          <w:i w:val="0"/>
          <w:color w:val="202722"/>
          <w:sz w:val="22"/>
        </w:rPr>
        <w:t>What if I receive unexpected income?</w:t>
      </w:r>
    </w:p>
    <w:p>
      <w:pPr>
        <w:spacing w:before="0" w:after="120" w:line="300" w:lineRule="auto"/>
      </w:pPr>
      <w:r>
        <w:rPr>
          <w:rFonts w:ascii="Calibri" w:hAnsi="Calibri"/>
          <w:b w:val="0"/>
          <w:i w:val="0"/>
          <w:color w:val="202722"/>
          <w:sz w:val="22"/>
        </w:rPr>
        <w:t>Simulations never alter the real plan until the user confirms the change.</w:t>
      </w:r>
    </w:p>
    <w:p>
      <w:pPr>
        <w:pStyle w:val="Heading1"/>
        <w:keepNext/>
      </w:pPr>
      <w:r>
        <w:rPr>
          <w:rFonts w:ascii="Calibri" w:hAnsi="Calibri"/>
          <w:b/>
          <w:i w:val="0"/>
          <w:color w:val="0E573D"/>
          <w:sz w:val="32"/>
        </w:rPr>
        <w:t>16. Currencies and Exchange Rates</w:t>
      </w:r>
    </w:p>
    <w:p>
      <w:pPr>
        <w:spacing w:before="0" w:after="120" w:line="300" w:lineRule="auto"/>
      </w:pPr>
      <w:r>
        <w:rPr>
          <w:rFonts w:ascii="Calibri" w:hAnsi="Calibri"/>
          <w:b w:val="0"/>
          <w:i w:val="0"/>
          <w:color w:val="202722"/>
          <w:sz w:val="22"/>
        </w:rPr>
        <w:t>Sunga supports multiple currencies from the beginning. Zambia is the default country experience, but users select their home currency during onboarding.</w:t>
      </w:r>
    </w:p>
    <w:p>
      <w:pPr>
        <w:pStyle w:val="Heading2"/>
        <w:keepNext/>
      </w:pPr>
      <w:r>
        <w:rPr>
          <w:rFonts w:ascii="Calibri" w:hAnsi="Calibri"/>
          <w:b/>
          <w:i w:val="0"/>
          <w:color w:val="0E573D"/>
          <w:sz w:val="26"/>
        </w:rPr>
        <w:t>Currency model</w:t>
      </w:r>
    </w:p>
    <w:p>
      <w:pPr>
        <w:pStyle w:val="ListBullet"/>
        <w:spacing w:after="80" w:line="300" w:lineRule="auto"/>
        <w:ind w:left="540" w:hanging="271"/>
      </w:pPr>
      <w:r>
        <w:rPr>
          <w:rFonts w:ascii="Calibri" w:hAnsi="Calibri"/>
          <w:b w:val="0"/>
          <w:i w:val="0"/>
          <w:color w:val="202722"/>
          <w:sz w:val="22"/>
        </w:rPr>
        <w:t>Home currency: the currency normally used for budgeting.</w:t>
      </w:r>
    </w:p>
    <w:p>
      <w:pPr>
        <w:pStyle w:val="ListBullet"/>
        <w:spacing w:after="80" w:line="300" w:lineRule="auto"/>
        <w:ind w:left="540" w:hanging="271"/>
      </w:pPr>
      <w:r>
        <w:rPr>
          <w:rFonts w:ascii="Calibri" w:hAnsi="Calibri"/>
          <w:b w:val="0"/>
          <w:i w:val="0"/>
          <w:color w:val="202722"/>
          <w:sz w:val="22"/>
        </w:rPr>
        <w:t>Display currency: a temporary converted view that does not change stored values.</w:t>
      </w:r>
    </w:p>
    <w:p>
      <w:pPr>
        <w:pStyle w:val="ListBullet"/>
        <w:spacing w:after="80" w:line="300" w:lineRule="auto"/>
        <w:ind w:left="540" w:hanging="271"/>
      </w:pPr>
      <w:r>
        <w:rPr>
          <w:rFonts w:ascii="Calibri" w:hAnsi="Calibri"/>
          <w:b w:val="0"/>
          <w:i w:val="0"/>
          <w:color w:val="202722"/>
          <w:sz w:val="22"/>
        </w:rPr>
        <w:t>Transaction currency: the original currency in which income or spending occurred.</w:t>
      </w:r>
    </w:p>
    <w:p>
      <w:pPr>
        <w:pStyle w:val="ListBullet"/>
        <w:spacing w:after="80" w:line="300" w:lineRule="auto"/>
        <w:ind w:left="540" w:hanging="271"/>
      </w:pPr>
      <w:r>
        <w:rPr>
          <w:rFonts w:ascii="Calibri" w:hAnsi="Calibri"/>
          <w:b w:val="0"/>
          <w:i w:val="0"/>
          <w:color w:val="202722"/>
          <w:sz w:val="22"/>
        </w:rPr>
        <w:t>Goal currency: a goal may be set in USD, ZAR or another currency while contributions are recorded in a different currency.</w:t>
      </w:r>
    </w:p>
    <w:p>
      <w:pPr>
        <w:spacing w:before="0" w:after="120" w:line="300" w:lineRule="auto"/>
      </w:pPr>
      <w:r>
        <w:rPr>
          <w:rFonts w:ascii="Calibri" w:hAnsi="Calibri"/>
          <w:b w:val="0"/>
          <w:i w:val="0"/>
          <w:color w:val="202722"/>
          <w:sz w:val="22"/>
        </w:rPr>
        <w:t>Store ISO 4217 codes such as ZMW, USD and ZAR, not only symbols. Each converted transaction stores the original amount, currency, rate, source, date and home-currency estimate.</w:t>
      </w:r>
    </w:p>
    <w:p>
      <w:pPr>
        <w:pStyle w:val="Heading2"/>
        <w:keepNext/>
      </w:pPr>
      <w:r>
        <w:rPr>
          <w:rFonts w:ascii="Calibri" w:hAnsi="Calibri"/>
          <w:b/>
          <w:i w:val="0"/>
          <w:color w:val="0E573D"/>
          <w:sz w:val="26"/>
        </w:rPr>
        <w:t>Exchange-rate choices</w:t>
      </w:r>
    </w:p>
    <w:p>
      <w:pPr>
        <w:pStyle w:val="ListBullet"/>
        <w:spacing w:after="80" w:line="300" w:lineRule="auto"/>
        <w:ind w:left="540" w:hanging="271"/>
      </w:pPr>
      <w:r>
        <w:rPr>
          <w:rFonts w:ascii="Calibri" w:hAnsi="Calibri"/>
          <w:b w:val="0"/>
          <w:i w:val="0"/>
          <w:color w:val="202722"/>
          <w:sz w:val="22"/>
        </w:rPr>
        <w:t>Current reference rate.</w:t>
      </w:r>
    </w:p>
    <w:p>
      <w:pPr>
        <w:pStyle w:val="ListBullet"/>
        <w:spacing w:after="80" w:line="300" w:lineRule="auto"/>
        <w:ind w:left="540" w:hanging="271"/>
      </w:pPr>
      <w:r>
        <w:rPr>
          <w:rFonts w:ascii="Calibri" w:hAnsi="Calibri"/>
          <w:b w:val="0"/>
          <w:i w:val="0"/>
          <w:color w:val="202722"/>
          <w:sz w:val="22"/>
        </w:rPr>
        <w:t>Transaction-date rate.</w:t>
      </w:r>
    </w:p>
    <w:p>
      <w:pPr>
        <w:pStyle w:val="ListBullet"/>
        <w:spacing w:after="80" w:line="300" w:lineRule="auto"/>
        <w:ind w:left="540" w:hanging="271"/>
      </w:pPr>
      <w:r>
        <w:rPr>
          <w:rFonts w:ascii="Calibri" w:hAnsi="Calibri"/>
          <w:b w:val="0"/>
          <w:i w:val="0"/>
          <w:color w:val="202722"/>
          <w:sz w:val="22"/>
        </w:rPr>
        <w:t>Custom rate representing what the user actually received.</w:t>
      </w:r>
    </w:p>
    <w:p>
      <w:pPr>
        <w:pStyle w:val="ListBullet"/>
        <w:spacing w:after="80" w:line="300" w:lineRule="auto"/>
        <w:ind w:left="540" w:hanging="271"/>
      </w:pPr>
      <w:r>
        <w:rPr>
          <w:rFonts w:ascii="Calibri" w:hAnsi="Calibri"/>
          <w:b w:val="0"/>
          <w:i w:val="0"/>
          <w:color w:val="202722"/>
          <w:sz w:val="22"/>
        </w:rPr>
        <w:t>Last available offline rate, clearly dated and labelled approximate.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Conversion notice: </w:t>
            </w:r>
            <w:r>
              <w:rPr>
                <w:rFonts w:ascii="Calibri" w:hAnsi="Calibri"/>
                <w:b w:val="0"/>
                <w:i w:val="0"/>
                <w:color w:val="202722"/>
                <w:sz w:val="22"/>
              </w:rPr>
              <w:t>Conversions are estimates. A bank, bureau or mobile-money provider may use a different rate.</w:t>
            </w:r>
          </w:p>
        </w:tc>
        <w:trPr>
          <w:tblHeader/>
        </w:trPr>
      </w:tr>
    </w:tbl>
    <w:p>
      <w:pPr>
        <w:spacing w:after="40"/>
      </w:pPr>
    </w:p>
    <w:p>
      <w:pPr>
        <w:pStyle w:val="Heading1"/>
        <w:keepNext/>
      </w:pPr>
      <w:r>
        <w:rPr>
          <w:rFonts w:ascii="Calibri" w:hAnsi="Calibri"/>
          <w:b/>
          <w:i w:val="0"/>
          <w:color w:val="0E573D"/>
          <w:sz w:val="32"/>
        </w:rPr>
        <w:t>17. Reports, History and Data Entry</w:t>
      </w:r>
    </w:p>
    <w:p>
      <w:pPr>
        <w:pStyle w:val="Heading2"/>
        <w:keepNext/>
      </w:pPr>
      <w:r>
        <w:rPr>
          <w:rFonts w:ascii="Calibri" w:hAnsi="Calibri"/>
          <w:b/>
          <w:i w:val="0"/>
          <w:color w:val="0E573D"/>
          <w:sz w:val="26"/>
        </w:rPr>
        <w:t>Reports</w:t>
      </w:r>
    </w:p>
    <w:p>
      <w:pPr>
        <w:pStyle w:val="ListBullet"/>
        <w:spacing w:after="80" w:line="300" w:lineRule="auto"/>
        <w:ind w:left="540" w:hanging="271"/>
      </w:pPr>
      <w:r>
        <w:rPr>
          <w:rFonts w:ascii="Calibri" w:hAnsi="Calibri"/>
          <w:b w:val="0"/>
          <w:i w:val="0"/>
          <w:color w:val="202722"/>
          <w:sz w:val="22"/>
        </w:rPr>
        <w:t>Where money came from and where it went.</w:t>
      </w:r>
    </w:p>
    <w:p>
      <w:pPr>
        <w:pStyle w:val="ListBullet"/>
        <w:spacing w:after="80" w:line="300" w:lineRule="auto"/>
        <w:ind w:left="540" w:hanging="271"/>
      </w:pPr>
      <w:r>
        <w:rPr>
          <w:rFonts w:ascii="Calibri" w:hAnsi="Calibri"/>
          <w:b w:val="0"/>
          <w:i w:val="0"/>
          <w:color w:val="202722"/>
          <w:sz w:val="22"/>
        </w:rPr>
        <w:t>Savings progress, withdrawals and missed contributions.</w:t>
      </w:r>
    </w:p>
    <w:p>
      <w:pPr>
        <w:pStyle w:val="ListBullet"/>
        <w:spacing w:after="80" w:line="300" w:lineRule="auto"/>
        <w:ind w:left="540" w:hanging="271"/>
      </w:pPr>
      <w:r>
        <w:rPr>
          <w:rFonts w:ascii="Calibri" w:hAnsi="Calibri"/>
          <w:b w:val="0"/>
          <w:i w:val="0"/>
          <w:color w:val="202722"/>
          <w:sz w:val="22"/>
        </w:rPr>
        <w:t>Upcoming bills and predicted low-balance periods.</w:t>
      </w:r>
    </w:p>
    <w:p>
      <w:pPr>
        <w:pStyle w:val="ListBullet"/>
        <w:spacing w:after="80" w:line="300" w:lineRule="auto"/>
        <w:ind w:left="540" w:hanging="271"/>
      </w:pPr>
      <w:r>
        <w:rPr>
          <w:rFonts w:ascii="Calibri" w:hAnsi="Calibri"/>
          <w:b w:val="0"/>
          <w:i w:val="0"/>
          <w:color w:val="202722"/>
          <w:sz w:val="22"/>
        </w:rPr>
        <w:t>Changes from the previous week or month.</w:t>
      </w:r>
    </w:p>
    <w:p>
      <w:pPr>
        <w:pStyle w:val="ListBullet"/>
        <w:spacing w:after="80" w:line="300" w:lineRule="auto"/>
        <w:ind w:left="540" w:hanging="271"/>
      </w:pPr>
      <w:r>
        <w:rPr>
          <w:rFonts w:ascii="Calibri" w:hAnsi="Calibri"/>
          <w:b w:val="0"/>
          <w:i w:val="0"/>
          <w:color w:val="202722"/>
          <w:sz w:val="22"/>
        </w:rPr>
        <w:t>Family-space reports that exclude private-space information.</w:t>
      </w:r>
    </w:p>
    <w:p>
      <w:pPr>
        <w:pStyle w:val="ListBullet"/>
        <w:spacing w:after="80" w:line="300" w:lineRule="auto"/>
        <w:ind w:left="540" w:hanging="271"/>
      </w:pPr>
      <w:r>
        <w:rPr>
          <w:rFonts w:ascii="Calibri" w:hAnsi="Calibri"/>
          <w:b w:val="0"/>
          <w:i w:val="0"/>
          <w:color w:val="202722"/>
          <w:sz w:val="22"/>
        </w:rPr>
        <w:t>Downloadable or shareable summaries.</w:t>
      </w:r>
    </w:p>
    <w:p>
      <w:pPr>
        <w:pStyle w:val="Heading2"/>
        <w:keepNext/>
      </w:pPr>
      <w:r>
        <w:rPr>
          <w:rFonts w:ascii="Calibri" w:hAnsi="Calibri"/>
          <w:b/>
          <w:i w:val="0"/>
          <w:color w:val="0E573D"/>
          <w:sz w:val="26"/>
        </w:rPr>
        <w:t>Entry methods</w:t>
      </w:r>
    </w:p>
    <w:p>
      <w:pPr>
        <w:pStyle w:val="ListBullet"/>
        <w:spacing w:after="80" w:line="300" w:lineRule="auto"/>
        <w:ind w:left="540" w:hanging="271"/>
      </w:pPr>
      <w:r>
        <w:rPr>
          <w:rFonts w:ascii="Calibri" w:hAnsi="Calibri"/>
          <w:b w:val="0"/>
          <w:i w:val="0"/>
          <w:color w:val="202722"/>
          <w:sz w:val="22"/>
        </w:rPr>
        <w:t>Manual quick entry and repeat-last-entry.</w:t>
      </w:r>
    </w:p>
    <w:p>
      <w:pPr>
        <w:pStyle w:val="ListBullet"/>
        <w:spacing w:after="80" w:line="300" w:lineRule="auto"/>
        <w:ind w:left="540" w:hanging="271"/>
      </w:pPr>
      <w:r>
        <w:rPr>
          <w:rFonts w:ascii="Calibri" w:hAnsi="Calibri"/>
          <w:b w:val="0"/>
          <w:i w:val="0"/>
          <w:color w:val="202722"/>
          <w:sz w:val="22"/>
        </w:rPr>
        <w:t>Voice entry such as “I spent K35 on transport.”</w:t>
      </w:r>
    </w:p>
    <w:p>
      <w:pPr>
        <w:pStyle w:val="ListBullet"/>
        <w:spacing w:after="80" w:line="300" w:lineRule="auto"/>
        <w:ind w:left="540" w:hanging="271"/>
      </w:pPr>
      <w:r>
        <w:rPr>
          <w:rFonts w:ascii="Calibri" w:hAnsi="Calibri"/>
          <w:b w:val="0"/>
          <w:i w:val="0"/>
          <w:color w:val="202722"/>
          <w:sz w:val="22"/>
        </w:rPr>
        <w:t>Receipt photograph and confirmation.</w:t>
      </w:r>
    </w:p>
    <w:p>
      <w:pPr>
        <w:pStyle w:val="ListBullet"/>
        <w:spacing w:after="80" w:line="300" w:lineRule="auto"/>
        <w:ind w:left="540" w:hanging="271"/>
      </w:pPr>
      <w:r>
        <w:rPr>
          <w:rFonts w:ascii="Calibri" w:hAnsi="Calibri"/>
          <w:b w:val="0"/>
          <w:i w:val="0"/>
          <w:color w:val="202722"/>
          <w:sz w:val="22"/>
        </w:rPr>
        <w:t>SMS-assisted detection with explicit permission and confirmation.</w:t>
      </w:r>
    </w:p>
    <w:p>
      <w:pPr>
        <w:pStyle w:val="ListBullet"/>
        <w:spacing w:after="80" w:line="300" w:lineRule="auto"/>
        <w:ind w:left="540" w:hanging="271"/>
      </w:pPr>
      <w:r>
        <w:rPr>
          <w:rFonts w:ascii="Calibri" w:hAnsi="Calibri"/>
          <w:b w:val="0"/>
          <w:i w:val="0"/>
          <w:color w:val="202722"/>
          <w:sz w:val="22"/>
        </w:rPr>
        <w:t>Statement import in a later release.</w:t>
      </w:r>
    </w:p>
    <w:p>
      <w:pPr>
        <w:spacing w:before="0" w:after="120" w:line="300" w:lineRule="auto"/>
      </w:pPr>
      <w:r>
        <w:rPr>
          <w:rFonts w:ascii="Calibri" w:hAnsi="Calibri"/>
          <w:b w:val="0"/>
          <w:i w:val="0"/>
          <w:color w:val="202722"/>
          <w:sz w:val="22"/>
        </w:rPr>
        <w:t>Automatically detected items remain suggestions until the user confirms them.</w:t>
      </w:r>
    </w:p>
    <w:p>
      <w:pPr>
        <w:pStyle w:val="Heading1"/>
        <w:keepNext/>
      </w:pPr>
      <w:r>
        <w:rPr>
          <w:rFonts w:ascii="Calibri" w:hAnsi="Calibri"/>
          <w:b/>
          <w:i w:val="0"/>
          <w:color w:val="0E573D"/>
          <w:sz w:val="32"/>
        </w:rPr>
        <w:t>18. Reminders and Notifications</w:t>
      </w:r>
    </w:p>
    <w:p>
      <w:pPr>
        <w:pStyle w:val="ListBullet"/>
        <w:spacing w:after="80" w:line="300" w:lineRule="auto"/>
        <w:ind w:left="540" w:hanging="271"/>
      </w:pPr>
      <w:r>
        <w:rPr>
          <w:rFonts w:ascii="Calibri" w:hAnsi="Calibri"/>
          <w:b w:val="0"/>
          <w:i w:val="0"/>
          <w:color w:val="202722"/>
          <w:sz w:val="22"/>
        </w:rPr>
        <w:t>Daily, weekly, monthly, payday, custom-date or no savings reminder.</w:t>
      </w:r>
    </w:p>
    <w:p>
      <w:pPr>
        <w:pStyle w:val="ListBullet"/>
        <w:spacing w:after="80" w:line="300" w:lineRule="auto"/>
        <w:ind w:left="540" w:hanging="271"/>
      </w:pPr>
      <w:r>
        <w:rPr>
          <w:rFonts w:ascii="Calibri" w:hAnsi="Calibri"/>
          <w:b w:val="0"/>
          <w:i w:val="0"/>
          <w:color w:val="202722"/>
          <w:sz w:val="22"/>
        </w:rPr>
        <w:t>Bill and subscription due-date reminders.</w:t>
      </w:r>
    </w:p>
    <w:p>
      <w:pPr>
        <w:pStyle w:val="ListBullet"/>
        <w:spacing w:after="80" w:line="300" w:lineRule="auto"/>
        <w:ind w:left="540" w:hanging="271"/>
      </w:pPr>
      <w:r>
        <w:rPr>
          <w:rFonts w:ascii="Calibri" w:hAnsi="Calibri"/>
          <w:b w:val="0"/>
          <w:i w:val="0"/>
          <w:color w:val="202722"/>
          <w:sz w:val="22"/>
        </w:rPr>
        <w:t>Expected-income follow-up.</w:t>
      </w:r>
    </w:p>
    <w:p>
      <w:pPr>
        <w:pStyle w:val="ListBullet"/>
        <w:spacing w:after="80" w:line="300" w:lineRule="auto"/>
        <w:ind w:left="540" w:hanging="271"/>
      </w:pPr>
      <w:r>
        <w:rPr>
          <w:rFonts w:ascii="Calibri" w:hAnsi="Calibri"/>
          <w:b w:val="0"/>
          <w:i w:val="0"/>
          <w:color w:val="202722"/>
          <w:sz w:val="22"/>
        </w:rPr>
        <w:t>Goal milestone notifications.</w:t>
      </w:r>
    </w:p>
    <w:p>
      <w:pPr>
        <w:pStyle w:val="ListBullet"/>
        <w:spacing w:after="80" w:line="300" w:lineRule="auto"/>
        <w:ind w:left="540" w:hanging="271"/>
      </w:pPr>
      <w:r>
        <w:rPr>
          <w:rFonts w:ascii="Calibri" w:hAnsi="Calibri"/>
          <w:b w:val="0"/>
          <w:i w:val="0"/>
          <w:color w:val="202722"/>
          <w:sz w:val="22"/>
        </w:rPr>
        <w:t>Private notifications hidden from shared devices where configured.</w:t>
      </w:r>
    </w:p>
    <w:p>
      <w:pPr>
        <w:pStyle w:val="ListBullet"/>
        <w:spacing w:after="80" w:line="300" w:lineRule="auto"/>
        <w:ind w:left="540" w:hanging="271"/>
      </w:pPr>
      <w:r>
        <w:rPr>
          <w:rFonts w:ascii="Calibri" w:hAnsi="Calibri"/>
          <w:b w:val="0"/>
          <w:i w:val="0"/>
          <w:color w:val="202722"/>
          <w:sz w:val="22"/>
        </w:rPr>
        <w:t>Quiet hours, reminder limits and one-tap pause.</w:t>
      </w:r>
    </w:p>
    <w:p>
      <w:pPr>
        <w:pStyle w:val="Heading1"/>
        <w:keepNext/>
      </w:pPr>
      <w:r>
        <w:rPr>
          <w:rFonts w:ascii="Calibri" w:hAnsi="Calibri"/>
          <w:b/>
          <w:i w:val="0"/>
          <w:color w:val="0E573D"/>
          <w:sz w:val="32"/>
        </w:rPr>
        <w:t>19. Offline, Accessibility and Localisation</w:t>
      </w:r>
    </w:p>
    <w:p>
      <w:pPr>
        <w:pStyle w:val="Heading2"/>
        <w:keepNext/>
      </w:pPr>
      <w:r>
        <w:rPr>
          <w:rFonts w:ascii="Calibri" w:hAnsi="Calibri"/>
          <w:b/>
          <w:i w:val="0"/>
          <w:color w:val="0E573D"/>
          <w:sz w:val="26"/>
        </w:rPr>
        <w:t>Offline and low data</w:t>
      </w:r>
    </w:p>
    <w:p>
      <w:pPr>
        <w:pStyle w:val="ListBullet"/>
        <w:spacing w:after="80" w:line="300" w:lineRule="auto"/>
        <w:ind w:left="540" w:hanging="271"/>
      </w:pPr>
      <w:r>
        <w:rPr>
          <w:rFonts w:ascii="Calibri" w:hAnsi="Calibri"/>
          <w:b w:val="0"/>
          <w:i w:val="0"/>
          <w:color w:val="202722"/>
          <w:sz w:val="22"/>
        </w:rPr>
        <w:t>Record income, expenses, deposits and withdrawals offline.</w:t>
      </w:r>
    </w:p>
    <w:p>
      <w:pPr>
        <w:pStyle w:val="ListBullet"/>
        <w:spacing w:after="80" w:line="300" w:lineRule="auto"/>
        <w:ind w:left="540" w:hanging="271"/>
      </w:pPr>
      <w:r>
        <w:rPr>
          <w:rFonts w:ascii="Calibri" w:hAnsi="Calibri"/>
          <w:b w:val="0"/>
          <w:i w:val="0"/>
          <w:color w:val="202722"/>
          <w:sz w:val="22"/>
        </w:rPr>
        <w:t>View budgets and goals offline.</w:t>
      </w:r>
    </w:p>
    <w:p>
      <w:pPr>
        <w:pStyle w:val="ListBullet"/>
        <w:spacing w:after="80" w:line="300" w:lineRule="auto"/>
        <w:ind w:left="540" w:hanging="271"/>
      </w:pPr>
      <w:r>
        <w:rPr>
          <w:rFonts w:ascii="Calibri" w:hAnsi="Calibri"/>
          <w:b w:val="0"/>
          <w:i w:val="0"/>
          <w:color w:val="202722"/>
          <w:sz w:val="22"/>
        </w:rPr>
        <w:t>Queue safe synchronisation when connectivity returns.</w:t>
      </w:r>
    </w:p>
    <w:p>
      <w:pPr>
        <w:pStyle w:val="ListBullet"/>
        <w:spacing w:after="80" w:line="300" w:lineRule="auto"/>
        <w:ind w:left="540" w:hanging="271"/>
      </w:pPr>
      <w:r>
        <w:rPr>
          <w:rFonts w:ascii="Calibri" w:hAnsi="Calibri"/>
          <w:b w:val="0"/>
          <w:i w:val="0"/>
          <w:color w:val="202722"/>
          <w:sz w:val="22"/>
        </w:rPr>
        <w:t>Resolve cross-device edit conflicts without silently losing records.</w:t>
      </w:r>
    </w:p>
    <w:p>
      <w:pPr>
        <w:pStyle w:val="ListBullet"/>
        <w:spacing w:after="80" w:line="300" w:lineRule="auto"/>
        <w:ind w:left="540" w:hanging="271"/>
      </w:pPr>
      <w:r>
        <w:rPr>
          <w:rFonts w:ascii="Calibri" w:hAnsi="Calibri"/>
          <w:b w:val="0"/>
          <w:i w:val="0"/>
          <w:color w:val="202722"/>
          <w:sz w:val="22"/>
        </w:rPr>
        <w:t>Label stale exchange rates and advice that requires fresh data.</w:t>
      </w:r>
    </w:p>
    <w:p>
      <w:pPr>
        <w:pStyle w:val="Heading2"/>
        <w:keepNext/>
      </w:pPr>
      <w:r>
        <w:rPr>
          <w:rFonts w:ascii="Calibri" w:hAnsi="Calibri"/>
          <w:b/>
          <w:i w:val="0"/>
          <w:color w:val="0E573D"/>
          <w:sz w:val="26"/>
        </w:rPr>
        <w:t>Accessibility and language</w:t>
      </w:r>
    </w:p>
    <w:p>
      <w:pPr>
        <w:pStyle w:val="ListBullet"/>
        <w:spacing w:after="80" w:line="300" w:lineRule="auto"/>
        <w:ind w:left="540" w:hanging="271"/>
      </w:pPr>
      <w:r>
        <w:rPr>
          <w:rFonts w:ascii="Calibri" w:hAnsi="Calibri"/>
          <w:b w:val="0"/>
          <w:i w:val="0"/>
          <w:color w:val="202722"/>
          <w:sz w:val="22"/>
        </w:rPr>
        <w:t>English first, with selected Zambian and other African languages later.</w:t>
      </w:r>
    </w:p>
    <w:p>
      <w:pPr>
        <w:pStyle w:val="ListBullet"/>
        <w:spacing w:after="80" w:line="300" w:lineRule="auto"/>
        <w:ind w:left="540" w:hanging="271"/>
      </w:pPr>
      <w:r>
        <w:rPr>
          <w:rFonts w:ascii="Calibri" w:hAnsi="Calibri"/>
          <w:b w:val="0"/>
          <w:i w:val="0"/>
          <w:color w:val="202722"/>
          <w:sz w:val="22"/>
        </w:rPr>
        <w:t>Simple-language mode and explanations of financial terms.</w:t>
      </w:r>
    </w:p>
    <w:p>
      <w:pPr>
        <w:pStyle w:val="ListBullet"/>
        <w:spacing w:after="80" w:line="300" w:lineRule="auto"/>
        <w:ind w:left="540" w:hanging="271"/>
      </w:pPr>
      <w:r>
        <w:rPr>
          <w:rFonts w:ascii="Calibri" w:hAnsi="Calibri"/>
          <w:b w:val="0"/>
          <w:i w:val="0"/>
          <w:color w:val="202722"/>
          <w:sz w:val="22"/>
        </w:rPr>
        <w:t>Large text, screen-reader support and colour-blind-safe status indicators.</w:t>
      </w:r>
    </w:p>
    <w:p>
      <w:pPr>
        <w:pStyle w:val="ListBullet"/>
        <w:spacing w:after="80" w:line="300" w:lineRule="auto"/>
        <w:ind w:left="540" w:hanging="271"/>
      </w:pPr>
      <w:r>
        <w:rPr>
          <w:rFonts w:ascii="Calibri" w:hAnsi="Calibri"/>
          <w:b w:val="0"/>
          <w:i w:val="0"/>
          <w:color w:val="202722"/>
          <w:sz w:val="22"/>
        </w:rPr>
        <w:t>Voice entry and clear icons accompanied by text labels.</w:t>
      </w:r>
    </w:p>
    <w:p>
      <w:pPr>
        <w:pStyle w:val="ListBullet"/>
        <w:spacing w:after="80" w:line="300" w:lineRule="auto"/>
        <w:ind w:left="540" w:hanging="271"/>
      </w:pPr>
      <w:r>
        <w:rPr>
          <w:rFonts w:ascii="Calibri" w:hAnsi="Calibri"/>
          <w:b w:val="0"/>
          <w:i w:val="0"/>
          <w:color w:val="202722"/>
          <w:sz w:val="22"/>
        </w:rPr>
        <w:t>Date, number and currency formatting based on selected country rather than device assumptions.</w:t>
      </w:r>
    </w:p>
    <w:p>
      <w:pPr>
        <w:pStyle w:val="Heading1"/>
        <w:keepNext/>
      </w:pPr>
      <w:r>
        <w:rPr>
          <w:rFonts w:ascii="Calibri" w:hAnsi="Calibri"/>
          <w:b/>
          <w:i w:val="0"/>
          <w:color w:val="0E573D"/>
          <w:sz w:val="32"/>
        </w:rPr>
        <w:t>20. Free and Premium Plans</w:t>
      </w:r>
    </w:p>
    <w:p>
      <w:pPr>
        <w:spacing w:before="0" w:after="120" w:line="300" w:lineRule="auto"/>
      </w:pPr>
      <w:r>
        <w:rPr>
          <w:rFonts w:ascii="Calibri" w:hAnsi="Calibri"/>
          <w:b w:val="0"/>
          <w:i w:val="0"/>
          <w:color w:val="202722"/>
          <w:sz w:val="22"/>
        </w:rPr>
        <w:t>The tracker launches free. Premium is optional and priced at a very small amount, subject to testing whether transaction fees make K2 monthly practical. A low annual price such as K20-K40 may be easier to collect.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0E573D"/>
            <w:vAlign w:val="center"/>
          </w:tcPr>
          <w:p>
            <w:pPr>
              <w:spacing w:after="0"/>
            </w:pPr>
            <w:r>
              <w:rPr>
                <w:rFonts w:ascii="Calibri" w:hAnsi="Calibri"/>
                <w:b/>
                <w:i w:val="0"/>
                <w:color w:val="FFFFFF"/>
                <w:sz w:val="20"/>
              </w:rPr>
              <w:t>Free core</w:t>
            </w:r>
          </w:p>
        </w:tc>
        <w:tc>
          <w:tcPr>
            <w:tcW w:type="dxa" w:w="4680"/>
            <w:tcMar>
              <w:top w:w="80" w:type="dxa"/>
              <w:start w:w="120" w:type="dxa"/>
              <w:bottom w:w="80" w:type="dxa"/>
              <w:end w:w="120" w:type="dxa"/>
            </w:tcMar>
            <w:shd w:fill="0E573D"/>
            <w:vAlign w:val="center"/>
          </w:tcPr>
          <w:p>
            <w:pPr>
              <w:spacing w:after="0"/>
            </w:pPr>
            <w:r>
              <w:rPr>
                <w:rFonts w:ascii="Calibri" w:hAnsi="Calibri"/>
                <w:b/>
                <w:i w:val="0"/>
                <w:color w:val="FFFFFF"/>
                <w:sz w:val="20"/>
              </w:rPr>
              <w:t>Possible Premium convenience</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All three tracking modes</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Advanced cash-flow forecasting</w:t>
            </w:r>
          </w:p>
        </w:tc>
      </w:tr>
      <w:tr>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Basic income, expenses, bills and goals</w:t>
            </w:r>
          </w:p>
        </w:tc>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Unlimited “what-if” simulations</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Basic family budgeting</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Receipt and SMS-assisted entry</w:t>
            </w:r>
          </w:p>
        </w:tc>
      </w:tr>
      <w:tr>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Offline use and standard reports</w:t>
            </w:r>
          </w:p>
        </w:tc>
        <w:tc>
          <w:tcPr>
            <w:tcW w:type="dxa" w:w="468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Detailed multi-currency reports</w:t>
            </w:r>
          </w:p>
        </w:tc>
      </w:tr>
      <w:tr>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Security, privacy, export and deletion</w:t>
            </w:r>
          </w:p>
        </w:tc>
        <w:tc>
          <w:tcPr>
            <w:tcW w:type="dxa" w:w="4680"/>
            <w:vAlign w:val="center"/>
            <w:tcMar>
              <w:top w:w="80" w:type="dxa"/>
              <w:start w:w="120" w:type="dxa"/>
              <w:bottom w:w="80" w:type="dxa"/>
              <w:end w:w="120" w:type="dxa"/>
            </w:tcMar>
          </w:tcPr>
          <w:p>
            <w:pPr>
              <w:spacing w:after="0" w:line="264" w:lineRule="auto"/>
            </w:pPr>
            <w:r>
              <w:rPr>
                <w:rFonts w:ascii="Calibri" w:hAnsi="Calibri"/>
                <w:b w:val="0"/>
                <w:i w:val="0"/>
                <w:color w:val="202722"/>
                <w:sz w:val="19"/>
              </w:rPr>
              <w:t>Advanced AI guidance and longer analysis history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Never paywall: </w:t>
            </w:r>
            <w:r>
              <w:rPr>
                <w:rFonts w:ascii="Calibri" w:hAnsi="Calibri"/>
                <w:b w:val="0"/>
                <w:i w:val="0"/>
                <w:color w:val="202722"/>
                <w:sz w:val="22"/>
              </w:rPr>
              <w:t>Security, child safety, account recovery, privacy controls, data export, deletion or access to a user's own records.</w:t>
            </w:r>
          </w:p>
        </w:tc>
        <w:trPr>
          <w:tblHeader/>
        </w:trPr>
      </w:tr>
    </w:tbl>
    <w:p>
      <w:pPr>
        <w:spacing w:after="40"/>
      </w:pPr>
    </w:p>
    <w:p>
      <w:pPr>
        <w:pStyle w:val="Heading1"/>
        <w:keepNext/>
      </w:pPr>
      <w:r>
        <w:rPr>
          <w:rFonts w:ascii="Calibri" w:hAnsi="Calibri"/>
          <w:b/>
          <w:i w:val="0"/>
          <w:color w:val="0E573D"/>
          <w:sz w:val="32"/>
        </w:rPr>
        <w:t>21. Security, Privacy and Trust</w:t>
      </w:r>
    </w:p>
    <w:p>
      <w:pPr>
        <w:pStyle w:val="ListBullet"/>
        <w:spacing w:after="80" w:line="300" w:lineRule="auto"/>
        <w:ind w:left="540" w:hanging="271"/>
      </w:pPr>
      <w:r>
        <w:rPr>
          <w:rFonts w:ascii="Calibri" w:hAnsi="Calibri"/>
          <w:b w:val="0"/>
          <w:i w:val="0"/>
          <w:color w:val="202722"/>
          <w:sz w:val="22"/>
        </w:rPr>
        <w:t>PIN, fingerprint/passkey where supported and automatic app lock.</w:t>
      </w:r>
    </w:p>
    <w:p>
      <w:pPr>
        <w:pStyle w:val="ListBullet"/>
        <w:spacing w:after="80" w:line="300" w:lineRule="auto"/>
        <w:ind w:left="540" w:hanging="271"/>
      </w:pPr>
      <w:r>
        <w:rPr>
          <w:rFonts w:ascii="Calibri" w:hAnsi="Calibri"/>
          <w:b w:val="0"/>
          <w:i w:val="0"/>
          <w:color w:val="202722"/>
          <w:sz w:val="22"/>
        </w:rPr>
        <w:t>Encryption in transit and at rest.</w:t>
      </w:r>
    </w:p>
    <w:p>
      <w:pPr>
        <w:pStyle w:val="ListBullet"/>
        <w:spacing w:after="80" w:line="300" w:lineRule="auto"/>
        <w:ind w:left="540" w:hanging="271"/>
      </w:pPr>
      <w:r>
        <w:rPr>
          <w:rFonts w:ascii="Calibri" w:hAnsi="Calibri"/>
          <w:b w:val="0"/>
          <w:i w:val="0"/>
          <w:color w:val="202722"/>
          <w:sz w:val="22"/>
        </w:rPr>
        <w:t>Secure account recovery and device management.</w:t>
      </w:r>
    </w:p>
    <w:p>
      <w:pPr>
        <w:pStyle w:val="ListBullet"/>
        <w:spacing w:after="80" w:line="300" w:lineRule="auto"/>
        <w:ind w:left="540" w:hanging="271"/>
      </w:pPr>
      <w:r>
        <w:rPr>
          <w:rFonts w:ascii="Calibri" w:hAnsi="Calibri"/>
          <w:b w:val="0"/>
          <w:i w:val="0"/>
          <w:color w:val="202722"/>
          <w:sz w:val="22"/>
        </w:rPr>
        <w:t>Explicit consent for child profiles, SMS reading, receipts, AI analysis and family sharing.</w:t>
      </w:r>
    </w:p>
    <w:p>
      <w:pPr>
        <w:pStyle w:val="ListBullet"/>
        <w:spacing w:after="80" w:line="300" w:lineRule="auto"/>
        <w:ind w:left="540" w:hanging="271"/>
      </w:pPr>
      <w:r>
        <w:rPr>
          <w:rFonts w:ascii="Calibri" w:hAnsi="Calibri"/>
          <w:b w:val="0"/>
          <w:i w:val="0"/>
          <w:color w:val="202722"/>
          <w:sz w:val="22"/>
        </w:rPr>
        <w:t>Clear retention, export and permanent-deletion controls.</w:t>
      </w:r>
    </w:p>
    <w:p>
      <w:pPr>
        <w:pStyle w:val="ListBullet"/>
        <w:spacing w:after="80" w:line="300" w:lineRule="auto"/>
        <w:ind w:left="540" w:hanging="271"/>
      </w:pPr>
      <w:r>
        <w:rPr>
          <w:rFonts w:ascii="Calibri" w:hAnsi="Calibri"/>
          <w:b w:val="0"/>
          <w:i w:val="0"/>
          <w:color w:val="202722"/>
          <w:sz w:val="22"/>
        </w:rPr>
        <w:t>Separation of private, family, child and business spaces in every permission check.</w:t>
      </w:r>
    </w:p>
    <w:p>
      <w:pPr>
        <w:pStyle w:val="ListBullet"/>
        <w:spacing w:after="80" w:line="300" w:lineRule="auto"/>
        <w:ind w:left="540" w:hanging="271"/>
      </w:pPr>
      <w:r>
        <w:rPr>
          <w:rFonts w:ascii="Calibri" w:hAnsi="Calibri"/>
          <w:b w:val="0"/>
          <w:i w:val="0"/>
          <w:color w:val="202722"/>
          <w:sz w:val="22"/>
        </w:rPr>
        <w:t>No sale of financial behaviour and no paid recommendation that conflicts with the user's interests.</w:t>
      </w:r>
    </w:p>
    <w:p>
      <w:pPr>
        <w:pStyle w:val="ListBullet"/>
        <w:spacing w:after="80" w:line="300" w:lineRule="auto"/>
        <w:ind w:left="540" w:hanging="271"/>
      </w:pPr>
      <w:r>
        <w:rPr>
          <w:rFonts w:ascii="Calibri" w:hAnsi="Calibri"/>
          <w:b w:val="0"/>
          <w:i w:val="0"/>
          <w:color w:val="202722"/>
          <w:sz w:val="22"/>
        </w:rPr>
        <w:t>Audit history for permission changes and sensitive actions.</w:t>
      </w:r>
    </w:p>
    <w:p>
      <w:pPr>
        <w:spacing w:before="0" w:after="120" w:line="300" w:lineRule="auto"/>
      </w:pPr>
      <w:r>
        <w:rPr>
          <w:rFonts w:ascii="Calibri" w:hAnsi="Calibri"/>
          <w:b w:val="0"/>
          <w:i w:val="0"/>
          <w:color w:val="202722"/>
          <w:sz w:val="22"/>
        </w:rPr>
        <w:t>Privacy and regulatory review must cover where information is stored, whether it crosses national borders, how children's information is processed and which organisation is the data controller or processor.</w:t>
      </w:r>
    </w:p>
    <w:p>
      <w:pPr>
        <w:pStyle w:val="Heading1"/>
        <w:keepNext/>
      </w:pPr>
      <w:r>
        <w:rPr>
          <w:rFonts w:ascii="Calibri" w:hAnsi="Calibri"/>
          <w:b/>
          <w:i w:val="0"/>
          <w:color w:val="0E573D"/>
          <w:sz w:val="32"/>
        </w:rPr>
        <w:t>22. Future Financial-Custody Phase</w:t>
      </w:r>
    </w:p>
    <w:p>
      <w:pPr>
        <w:spacing w:before="0" w:after="120" w:line="300" w:lineRule="auto"/>
      </w:pPr>
      <w:r>
        <w:rPr>
          <w:rFonts w:ascii="Calibri" w:hAnsi="Calibri"/>
          <w:b w:val="0"/>
          <w:i w:val="0"/>
          <w:color w:val="202722"/>
          <w:sz w:val="22"/>
        </w:rPr>
        <w:t>The first version does not hold, transfer or invest money. Later, Sunga may connect users to a suitable bank, mobile-money provider or other regulated partner. Manual tracking must remain available.</w:t>
      </w:r>
    </w:p>
    <w:p>
      <w:pPr>
        <w:pStyle w:val="Heading2"/>
        <w:keepNext/>
      </w:pPr>
      <w:r>
        <w:rPr>
          <w:rFonts w:ascii="Calibri" w:hAnsi="Calibri"/>
          <w:b/>
          <w:i w:val="0"/>
          <w:color w:val="0E573D"/>
          <w:sz w:val="26"/>
        </w:rPr>
        <w:t>Before holding money</w:t>
      </w:r>
    </w:p>
    <w:p>
      <w:pPr>
        <w:pStyle w:val="ListBullet"/>
        <w:spacing w:after="80" w:line="300" w:lineRule="auto"/>
        <w:ind w:left="540" w:hanging="271"/>
      </w:pPr>
      <w:r>
        <w:rPr>
          <w:rFonts w:ascii="Calibri" w:hAnsi="Calibri"/>
          <w:b w:val="0"/>
          <w:i w:val="0"/>
          <w:color w:val="202722"/>
          <w:sz w:val="22"/>
        </w:rPr>
        <w:t>Appropriate licences or contracts with regulated partners in each country.</w:t>
      </w:r>
    </w:p>
    <w:p>
      <w:pPr>
        <w:pStyle w:val="ListBullet"/>
        <w:spacing w:after="80" w:line="300" w:lineRule="auto"/>
        <w:ind w:left="540" w:hanging="271"/>
      </w:pPr>
      <w:r>
        <w:rPr>
          <w:rFonts w:ascii="Calibri" w:hAnsi="Calibri"/>
          <w:b w:val="0"/>
          <w:i w:val="0"/>
          <w:color w:val="202722"/>
          <w:sz w:val="22"/>
        </w:rPr>
        <w:t>Customer and beneficiary identity verification.</w:t>
      </w:r>
    </w:p>
    <w:p>
      <w:pPr>
        <w:pStyle w:val="ListBullet"/>
        <w:spacing w:after="80" w:line="300" w:lineRule="auto"/>
        <w:ind w:left="540" w:hanging="271"/>
      </w:pPr>
      <w:r>
        <w:rPr>
          <w:rFonts w:ascii="Calibri" w:hAnsi="Calibri"/>
          <w:b w:val="0"/>
          <w:i w:val="0"/>
          <w:color w:val="202722"/>
          <w:sz w:val="22"/>
        </w:rPr>
        <w:t>A double-entry ledger and daily reconciliation.</w:t>
      </w:r>
    </w:p>
    <w:p>
      <w:pPr>
        <w:pStyle w:val="ListBullet"/>
        <w:spacing w:after="80" w:line="300" w:lineRule="auto"/>
        <w:ind w:left="540" w:hanging="271"/>
      </w:pPr>
      <w:r>
        <w:rPr>
          <w:rFonts w:ascii="Calibri" w:hAnsi="Calibri"/>
          <w:b w:val="0"/>
          <w:i w:val="0"/>
          <w:color w:val="202722"/>
          <w:sz w:val="22"/>
        </w:rPr>
        <w:t>Separation of customer funds from company operating funds.</w:t>
      </w:r>
    </w:p>
    <w:p>
      <w:pPr>
        <w:pStyle w:val="ListBullet"/>
        <w:spacing w:after="80" w:line="300" w:lineRule="auto"/>
        <w:ind w:left="540" w:hanging="271"/>
      </w:pPr>
      <w:r>
        <w:rPr>
          <w:rFonts w:ascii="Calibri" w:hAnsi="Calibri"/>
          <w:b w:val="0"/>
          <w:i w:val="0"/>
          <w:color w:val="202722"/>
          <w:sz w:val="22"/>
        </w:rPr>
        <w:t>Deposit, withdrawal, failure, reversal and dispute procedures.</w:t>
      </w:r>
    </w:p>
    <w:p>
      <w:pPr>
        <w:pStyle w:val="ListBullet"/>
        <w:spacing w:after="80" w:line="300" w:lineRule="auto"/>
        <w:ind w:left="540" w:hanging="271"/>
      </w:pPr>
      <w:r>
        <w:rPr>
          <w:rFonts w:ascii="Calibri" w:hAnsi="Calibri"/>
          <w:b w:val="0"/>
          <w:i w:val="0"/>
          <w:color w:val="202722"/>
          <w:sz w:val="22"/>
        </w:rPr>
        <w:t>Fraud monitoring, transaction limits and account-freeze appeals.</w:t>
      </w:r>
    </w:p>
    <w:p>
      <w:pPr>
        <w:pStyle w:val="ListBullet"/>
        <w:spacing w:after="80" w:line="300" w:lineRule="auto"/>
        <w:ind w:left="540" w:hanging="271"/>
      </w:pPr>
      <w:r>
        <w:rPr>
          <w:rFonts w:ascii="Calibri" w:hAnsi="Calibri"/>
          <w:b w:val="0"/>
          <w:i w:val="0"/>
          <w:color w:val="202722"/>
          <w:sz w:val="22"/>
        </w:rPr>
        <w:t>Transparent fees shown before each transaction.</w:t>
      </w:r>
    </w:p>
    <w:p>
      <w:pPr>
        <w:pStyle w:val="ListBullet"/>
        <w:spacing w:after="80" w:line="300" w:lineRule="auto"/>
        <w:ind w:left="540" w:hanging="271"/>
      </w:pPr>
      <w:r>
        <w:rPr>
          <w:rFonts w:ascii="Calibri" w:hAnsi="Calibri"/>
          <w:b w:val="0"/>
          <w:i w:val="0"/>
          <w:color w:val="202722"/>
          <w:sz w:val="22"/>
        </w:rPr>
        <w:t>Customer complaints, business continuity and disaster recovery.</w:t>
      </w:r>
    </w:p>
    <w:p>
      <w:pPr>
        <w:pStyle w:val="ListBullet"/>
        <w:spacing w:after="80" w:line="300" w:lineRule="auto"/>
        <w:ind w:left="540" w:hanging="271"/>
      </w:pPr>
      <w:r>
        <w:rPr>
          <w:rFonts w:ascii="Calibri" w:hAnsi="Calibri"/>
          <w:b w:val="0"/>
          <w:i w:val="0"/>
          <w:color w:val="202722"/>
          <w:sz w:val="22"/>
        </w:rPr>
        <w:t>Accurate disclosure of whether and how funds are protected or insured.</w:t>
      </w:r>
    </w:p>
    <w:p>
      <w:pPr>
        <w:pStyle w:val="ListBullet"/>
        <w:spacing w:after="80" w:line="300" w:lineRule="auto"/>
        <w:ind w:left="540" w:hanging="271"/>
      </w:pPr>
      <w:r>
        <w:rPr>
          <w:rFonts w:ascii="Calibri" w:hAnsi="Calibri"/>
          <w:b w:val="0"/>
          <w:i w:val="0"/>
          <w:color w:val="202722"/>
          <w:sz w:val="22"/>
        </w:rPr>
        <w:t>Dormant-account and unclaimed-funds procedures.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Fee principle: </w:t>
            </w:r>
            <w:r>
              <w:rPr>
                <w:rFonts w:ascii="Calibri" w:hAnsi="Calibri"/>
                <w:b w:val="0"/>
                <w:i w:val="0"/>
                <w:color w:val="202722"/>
                <w:sz w:val="22"/>
              </w:rPr>
              <w:t>Never silently deduct from a savings goal. Show the charge, amount added and any partner fee before the user confirms.</w:t>
            </w:r>
          </w:p>
        </w:tc>
        <w:trPr>
          <w:tblHeader/>
        </w:trPr>
      </w:tr>
    </w:tbl>
    <w:p>
      <w:pPr>
        <w:spacing w:after="40"/>
      </w:pPr>
    </w:p>
    <w:p>
      <w:pPr>
        <w:pStyle w:val="Heading1"/>
        <w:keepNext/>
      </w:pPr>
      <w:r>
        <w:rPr>
          <w:rFonts w:ascii="Calibri" w:hAnsi="Calibri"/>
          <w:b/>
          <w:i w:val="0"/>
          <w:color w:val="0E573D"/>
          <w:sz w:val="32"/>
        </w:rPr>
        <w:t>23. Beneficiary, Next-of-Kin and Legacy Plan</w:t>
      </w:r>
    </w:p>
    <w:p>
      <w:pPr>
        <w:spacing w:before="0" w:after="120" w:line="300" w:lineRule="auto"/>
      </w:pPr>
      <w:r>
        <w:rPr>
          <w:rFonts w:ascii="Calibri" w:hAnsi="Calibri"/>
          <w:b w:val="0"/>
          <w:i w:val="0"/>
          <w:color w:val="202722"/>
          <w:sz w:val="22"/>
        </w:rPr>
        <w:t>This feature becomes operational only if Sunga or a partner holds real money. A next of kin is not automatically the same as a legally entitled beneficiary, executor or estate administrator.</w:t>
      </w:r>
    </w:p>
    <w:p>
      <w:pPr>
        <w:pStyle w:val="Heading2"/>
        <w:keepNext/>
      </w:pPr>
      <w:r>
        <w:rPr>
          <w:rFonts w:ascii="Calibri" w:hAnsi="Calibri"/>
          <w:b/>
          <w:i w:val="0"/>
          <w:color w:val="0E573D"/>
          <w:sz w:val="26"/>
        </w:rPr>
        <w:t>User setup</w:t>
      </w:r>
    </w:p>
    <w:p>
      <w:pPr>
        <w:pStyle w:val="ListBullet"/>
        <w:spacing w:after="80" w:line="300" w:lineRule="auto"/>
        <w:ind w:left="540" w:hanging="271"/>
      </w:pPr>
      <w:r>
        <w:rPr>
          <w:rFonts w:ascii="Calibri" w:hAnsi="Calibri"/>
          <w:b w:val="0"/>
          <w:i w:val="0"/>
          <w:color w:val="202722"/>
          <w:sz w:val="22"/>
        </w:rPr>
        <w:t>Primary next of kin and alternative contact.</w:t>
      </w:r>
    </w:p>
    <w:p>
      <w:pPr>
        <w:pStyle w:val="ListBullet"/>
        <w:spacing w:after="80" w:line="300" w:lineRule="auto"/>
        <w:ind w:left="540" w:hanging="271"/>
      </w:pPr>
      <w:r>
        <w:rPr>
          <w:rFonts w:ascii="Calibri" w:hAnsi="Calibri"/>
          <w:b w:val="0"/>
          <w:i w:val="0"/>
          <w:color w:val="202722"/>
          <w:sz w:val="22"/>
        </w:rPr>
        <w:t>One or more nominated beneficiaries with percentages.</w:t>
      </w:r>
    </w:p>
    <w:p>
      <w:pPr>
        <w:pStyle w:val="ListBullet"/>
        <w:spacing w:after="80" w:line="300" w:lineRule="auto"/>
        <w:ind w:left="540" w:hanging="271"/>
      </w:pPr>
      <w:r>
        <w:rPr>
          <w:rFonts w:ascii="Calibri" w:hAnsi="Calibri"/>
          <w:b w:val="0"/>
          <w:i w:val="0"/>
          <w:color w:val="202722"/>
          <w:sz w:val="22"/>
        </w:rPr>
        <w:t>Relationship and verified identity/contact information.</w:t>
      </w:r>
    </w:p>
    <w:p>
      <w:pPr>
        <w:pStyle w:val="ListBullet"/>
        <w:spacing w:after="80" w:line="300" w:lineRule="auto"/>
        <w:ind w:left="540" w:hanging="271"/>
      </w:pPr>
      <w:r>
        <w:rPr>
          <w:rFonts w:ascii="Calibri" w:hAnsi="Calibri"/>
          <w:b w:val="0"/>
          <w:i w:val="0"/>
          <w:color w:val="202722"/>
          <w:sz w:val="22"/>
        </w:rPr>
        <w:t>Guardian or trustee details for a beneficiary who is a child.</w:t>
      </w:r>
    </w:p>
    <w:p>
      <w:pPr>
        <w:pStyle w:val="ListBullet"/>
        <w:spacing w:after="80" w:line="300" w:lineRule="auto"/>
        <w:ind w:left="540" w:hanging="271"/>
      </w:pPr>
      <w:r>
        <w:rPr>
          <w:rFonts w:ascii="Calibri" w:hAnsi="Calibri"/>
          <w:b w:val="0"/>
          <w:i w:val="0"/>
          <w:color w:val="202722"/>
          <w:sz w:val="22"/>
        </w:rPr>
        <w:t>Goal-level legacy wishes, subject to applicable law.</w:t>
      </w:r>
    </w:p>
    <w:p>
      <w:pPr>
        <w:pStyle w:val="ListBullet"/>
        <w:spacing w:after="80" w:line="300" w:lineRule="auto"/>
        <w:ind w:left="540" w:hanging="271"/>
      </w:pPr>
      <w:r>
        <w:rPr>
          <w:rFonts w:ascii="Calibri" w:hAnsi="Calibri"/>
          <w:b w:val="0"/>
          <w:i w:val="0"/>
          <w:color w:val="202722"/>
          <w:sz w:val="22"/>
        </w:rPr>
        <w:t>Periodic prompts to review nominations after marriage, divorce, death or family change.</w:t>
      </w:r>
    </w:p>
    <w:p>
      <w:pPr>
        <w:pStyle w:val="Heading2"/>
        <w:keepNext/>
      </w:pPr>
      <w:r>
        <w:rPr>
          <w:rFonts w:ascii="Calibri" w:hAnsi="Calibri"/>
          <w:b/>
          <w:i w:val="0"/>
          <w:color w:val="0E573D"/>
          <w:sz w:val="26"/>
        </w:rPr>
        <w:t>Death-claim process</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tcMar>
              <w:top w:w="80" w:type="dxa"/>
              <w:start w:w="120" w:type="dxa"/>
              <w:bottom w:w="80" w:type="dxa"/>
              <w:end w:w="120" w:type="dxa"/>
            </w:tcMar>
            <w:shd w:fill="0E573D"/>
            <w:vAlign w:val="center"/>
          </w:tcPr>
          <w:p>
            <w:pPr>
              <w:spacing w:after="0"/>
            </w:pPr>
            <w:r>
              <w:rPr>
                <w:rFonts w:ascii="Calibri" w:hAnsi="Calibri"/>
                <w:b/>
                <w:i w:val="0"/>
                <w:color w:val="FFFFFF"/>
                <w:sz w:val="20"/>
              </w:rPr>
              <w:t>Step</w:t>
            </w:r>
          </w:p>
        </w:tc>
        <w:tc>
          <w:tcPr>
            <w:tcW w:type="dxa" w:w="8260"/>
            <w:tcMar>
              <w:top w:w="80" w:type="dxa"/>
              <w:start w:w="120" w:type="dxa"/>
              <w:bottom w:w="80" w:type="dxa"/>
              <w:end w:w="120" w:type="dxa"/>
            </w:tcMar>
            <w:shd w:fill="0E573D"/>
            <w:vAlign w:val="center"/>
          </w:tcPr>
          <w:p>
            <w:pPr>
              <w:spacing w:after="0"/>
            </w:pPr>
            <w:r>
              <w:rPr>
                <w:rFonts w:ascii="Calibri" w:hAnsi="Calibri"/>
                <w:b/>
                <w:i w:val="0"/>
                <w:color w:val="FFFFFF"/>
                <w:sz w:val="20"/>
              </w:rPr>
              <w:t>Required action</w:t>
            </w:r>
          </w:p>
        </w:tc>
      </w:tr>
      <w:tr>
        <w:tc>
          <w:tcPr>
            <w:tcW w:type="dxa" w:w="1100"/>
            <w:vAlign w:val="center"/>
            <w:tcMar>
              <w:top w:w="80" w:type="dxa"/>
              <w:start w:w="120" w:type="dxa"/>
              <w:bottom w:w="80" w:type="dxa"/>
              <w:end w:w="120" w:type="dxa"/>
            </w:tcMar>
          </w:tcPr>
          <w:p>
            <w:pPr>
              <w:spacing w:after="0" w:line="264" w:lineRule="auto"/>
            </w:pPr>
            <w:r>
              <w:rPr>
                <w:rFonts w:ascii="Calibri" w:hAnsi="Calibri"/>
                <w:b w:val="0"/>
                <w:i w:val="0"/>
                <w:color w:val="202722"/>
                <w:sz w:val="19"/>
              </w:rPr>
              <w:t>1</w:t>
            </w:r>
          </w:p>
        </w:tc>
        <w:tc>
          <w:tcPr>
            <w:tcW w:type="dxa" w:w="8260"/>
            <w:vAlign w:val="center"/>
            <w:tcMar>
              <w:top w:w="80" w:type="dxa"/>
              <w:start w:w="120" w:type="dxa"/>
              <w:bottom w:w="80" w:type="dxa"/>
              <w:end w:w="120" w:type="dxa"/>
            </w:tcMar>
          </w:tcPr>
          <w:p>
            <w:pPr>
              <w:spacing w:after="0" w:line="264" w:lineRule="auto"/>
            </w:pPr>
            <w:r>
              <w:rPr>
                <w:rFonts w:ascii="Calibri" w:hAnsi="Calibri"/>
                <w:b w:val="0"/>
                <w:i w:val="0"/>
                <w:color w:val="202722"/>
                <w:sz w:val="19"/>
              </w:rPr>
              <w:t>Receive the report and immediately restrict risky transactions.</w:t>
            </w:r>
          </w:p>
        </w:tc>
      </w:tr>
      <w:tr>
        <w:tc>
          <w:tcPr>
            <w:tcW w:type="dxa" w:w="11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2</w:t>
            </w:r>
          </w:p>
        </w:tc>
        <w:tc>
          <w:tcPr>
            <w:tcW w:type="dxa" w:w="82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Verify the death and claimant; never hand over the deceased user's login or PIN.</w:t>
            </w:r>
          </w:p>
        </w:tc>
      </w:tr>
      <w:tr>
        <w:tc>
          <w:tcPr>
            <w:tcW w:type="dxa" w:w="1100"/>
            <w:vAlign w:val="center"/>
            <w:tcMar>
              <w:top w:w="80" w:type="dxa"/>
              <w:start w:w="120" w:type="dxa"/>
              <w:bottom w:w="80" w:type="dxa"/>
              <w:end w:w="120" w:type="dxa"/>
            </w:tcMar>
          </w:tcPr>
          <w:p>
            <w:pPr>
              <w:spacing w:after="0" w:line="264" w:lineRule="auto"/>
            </w:pPr>
            <w:r>
              <w:rPr>
                <w:rFonts w:ascii="Calibri" w:hAnsi="Calibri"/>
                <w:b w:val="0"/>
                <w:i w:val="0"/>
                <w:color w:val="202722"/>
                <w:sz w:val="19"/>
              </w:rPr>
              <w:t>3</w:t>
            </w:r>
          </w:p>
        </w:tc>
        <w:tc>
          <w:tcPr>
            <w:tcW w:type="dxa" w:w="8260"/>
            <w:vAlign w:val="center"/>
            <w:tcMar>
              <w:top w:w="80" w:type="dxa"/>
              <w:start w:w="120" w:type="dxa"/>
              <w:bottom w:w="80" w:type="dxa"/>
              <w:end w:w="120" w:type="dxa"/>
            </w:tcMar>
          </w:tcPr>
          <w:p>
            <w:pPr>
              <w:spacing w:after="0" w:line="264" w:lineRule="auto"/>
            </w:pPr>
            <w:r>
              <w:rPr>
                <w:rFonts w:ascii="Calibri" w:hAnsi="Calibri"/>
                <w:b w:val="0"/>
                <w:i w:val="0"/>
                <w:color w:val="202722"/>
                <w:sz w:val="19"/>
              </w:rPr>
              <w:t>Review nominations, estate documents, guardianship and legal requirements.</w:t>
            </w:r>
          </w:p>
        </w:tc>
      </w:tr>
      <w:tr>
        <w:tc>
          <w:tcPr>
            <w:tcW w:type="dxa" w:w="11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4</w:t>
            </w:r>
          </w:p>
        </w:tc>
        <w:tc>
          <w:tcPr>
            <w:tcW w:type="dxa" w:w="82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Hold disputed funds until authorised resolution.</w:t>
            </w:r>
          </w:p>
        </w:tc>
      </w:tr>
      <w:tr>
        <w:tc>
          <w:tcPr>
            <w:tcW w:type="dxa" w:w="1100"/>
            <w:vAlign w:val="center"/>
            <w:tcMar>
              <w:top w:w="80" w:type="dxa"/>
              <w:start w:w="120" w:type="dxa"/>
              <w:bottom w:w="80" w:type="dxa"/>
              <w:end w:w="120" w:type="dxa"/>
            </w:tcMar>
          </w:tcPr>
          <w:p>
            <w:pPr>
              <w:spacing w:after="0" w:line="264" w:lineRule="auto"/>
            </w:pPr>
            <w:r>
              <w:rPr>
                <w:rFonts w:ascii="Calibri" w:hAnsi="Calibri"/>
                <w:b w:val="0"/>
                <w:i w:val="0"/>
                <w:color w:val="202722"/>
                <w:sz w:val="19"/>
              </w:rPr>
              <w:t>5</w:t>
            </w:r>
          </w:p>
        </w:tc>
        <w:tc>
          <w:tcPr>
            <w:tcW w:type="dxa" w:w="8260"/>
            <w:vAlign w:val="center"/>
            <w:tcMar>
              <w:top w:w="80" w:type="dxa"/>
              <w:start w:w="120" w:type="dxa"/>
              <w:bottom w:w="80" w:type="dxa"/>
              <w:end w:w="120" w:type="dxa"/>
            </w:tcMar>
          </w:tcPr>
          <w:p>
            <w:pPr>
              <w:spacing w:after="0" w:line="264" w:lineRule="auto"/>
            </w:pPr>
            <w:r>
              <w:rPr>
                <w:rFonts w:ascii="Calibri" w:hAnsi="Calibri"/>
                <w:b w:val="0"/>
                <w:i w:val="0"/>
                <w:color w:val="202722"/>
                <w:sz w:val="19"/>
              </w:rPr>
              <w:t>Pay only through an approved, traceable process and retain an audit trail.</w:t>
            </w:r>
          </w:p>
        </w:tc>
      </w:tr>
      <w:tr>
        <w:tc>
          <w:tcPr>
            <w:tcW w:type="dxa" w:w="11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6</w:t>
            </w:r>
          </w:p>
        </w:tc>
        <w:tc>
          <w:tcPr>
            <w:tcW w:type="dxa" w:w="82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Handle missing, deceased or minor beneficiaries and unclaimed funds.</w:t>
            </w:r>
          </w:p>
        </w:tc>
      </w:tr>
    </w:tbl>
    <w:p>
      <w:pPr>
        <w:spacing w:after="40"/>
      </w:pPr>
    </w:p>
    <w:p>
      <w:pPr>
        <w:pStyle w:val="Heading2"/>
        <w:keepNext/>
      </w:pPr>
      <w:r>
        <w:rPr>
          <w:rFonts w:ascii="Calibri" w:hAnsi="Calibri"/>
          <w:b/>
          <w:i w:val="0"/>
          <w:color w:val="0E573D"/>
          <w:sz w:val="26"/>
        </w:rPr>
        <w:t>Incapacity and legal representation</w:t>
      </w:r>
    </w:p>
    <w:p>
      <w:pPr>
        <w:spacing w:before="0" w:after="120" w:line="300" w:lineRule="auto"/>
      </w:pPr>
      <w:r>
        <w:rPr>
          <w:rFonts w:ascii="Calibri" w:hAnsi="Calibri"/>
          <w:b w:val="0"/>
          <w:i w:val="0"/>
          <w:color w:val="202722"/>
          <w:sz w:val="22"/>
        </w:rPr>
        <w:t>Serious illness, disability, a missing person or a court-appointed representative requires a separate process from death. Any power-of-attorney or guardianship workflow must be legally reviewed.</w:t>
      </w:r>
    </w:p>
    <w:p>
      <w:pPr>
        <w:pStyle w:val="Heading1"/>
        <w:keepNext/>
      </w:pPr>
      <w:r>
        <w:rPr>
          <w:rFonts w:ascii="Calibri" w:hAnsi="Calibri"/>
          <w:b/>
          <w:i w:val="0"/>
          <w:color w:val="0E573D"/>
          <w:sz w:val="32"/>
        </w:rPr>
        <w:t>24. Administration and Customer Support</w:t>
      </w:r>
    </w:p>
    <w:p>
      <w:pPr>
        <w:pStyle w:val="ListBullet"/>
        <w:spacing w:after="80" w:line="300" w:lineRule="auto"/>
        <w:ind w:left="540" w:hanging="271"/>
      </w:pPr>
      <w:r>
        <w:rPr>
          <w:rFonts w:ascii="Calibri" w:hAnsi="Calibri"/>
          <w:b w:val="0"/>
          <w:i w:val="0"/>
          <w:color w:val="202722"/>
          <w:sz w:val="22"/>
        </w:rPr>
        <w:t>User-facing help centre with simple examples.</w:t>
      </w:r>
    </w:p>
    <w:p>
      <w:pPr>
        <w:pStyle w:val="ListBullet"/>
        <w:spacing w:after="80" w:line="300" w:lineRule="auto"/>
        <w:ind w:left="540" w:hanging="271"/>
      </w:pPr>
      <w:r>
        <w:rPr>
          <w:rFonts w:ascii="Calibri" w:hAnsi="Calibri"/>
          <w:b w:val="0"/>
          <w:i w:val="0"/>
          <w:color w:val="202722"/>
          <w:sz w:val="22"/>
        </w:rPr>
        <w:t>Support tools that reveal only the minimum information required.</w:t>
      </w:r>
    </w:p>
    <w:p>
      <w:pPr>
        <w:pStyle w:val="ListBullet"/>
        <w:spacing w:after="80" w:line="300" w:lineRule="auto"/>
        <w:ind w:left="540" w:hanging="271"/>
      </w:pPr>
      <w:r>
        <w:rPr>
          <w:rFonts w:ascii="Calibri" w:hAnsi="Calibri"/>
          <w:b w:val="0"/>
          <w:i w:val="0"/>
          <w:color w:val="202722"/>
          <w:sz w:val="22"/>
        </w:rPr>
        <w:t>Complaint, privacy-request and family-access dispute workflows.</w:t>
      </w:r>
    </w:p>
    <w:p>
      <w:pPr>
        <w:pStyle w:val="ListBullet"/>
        <w:spacing w:after="80" w:line="300" w:lineRule="auto"/>
        <w:ind w:left="540" w:hanging="271"/>
      </w:pPr>
      <w:r>
        <w:rPr>
          <w:rFonts w:ascii="Calibri" w:hAnsi="Calibri"/>
          <w:b w:val="0"/>
          <w:i w:val="0"/>
          <w:color w:val="202722"/>
          <w:sz w:val="22"/>
        </w:rPr>
        <w:t>Fraud and abuse reporting.</w:t>
      </w:r>
    </w:p>
    <w:p>
      <w:pPr>
        <w:pStyle w:val="ListBullet"/>
        <w:spacing w:after="80" w:line="300" w:lineRule="auto"/>
        <w:ind w:left="540" w:hanging="271"/>
      </w:pPr>
      <w:r>
        <w:rPr>
          <w:rFonts w:ascii="Calibri" w:hAnsi="Calibri"/>
          <w:b w:val="0"/>
          <w:i w:val="0"/>
          <w:color w:val="202722"/>
          <w:sz w:val="22"/>
        </w:rPr>
        <w:t>Operational audit logs and permission history.</w:t>
      </w:r>
    </w:p>
    <w:p>
      <w:pPr>
        <w:pStyle w:val="ListBullet"/>
        <w:spacing w:after="80" w:line="300" w:lineRule="auto"/>
        <w:ind w:left="540" w:hanging="271"/>
      </w:pPr>
      <w:r>
        <w:rPr>
          <w:rFonts w:ascii="Calibri" w:hAnsi="Calibri"/>
          <w:b w:val="0"/>
          <w:i w:val="0"/>
          <w:color w:val="202722"/>
          <w:sz w:val="22"/>
        </w:rPr>
        <w:t>Status communication for synchronisation, exchange-rate and service outages.</w:t>
      </w:r>
    </w:p>
    <w:p>
      <w:pPr>
        <w:pStyle w:val="ListBullet"/>
        <w:spacing w:after="80" w:line="300" w:lineRule="auto"/>
        <w:ind w:left="540" w:hanging="271"/>
      </w:pPr>
      <w:r>
        <w:rPr>
          <w:rFonts w:ascii="Calibri" w:hAnsi="Calibri"/>
          <w:b w:val="0"/>
          <w:i w:val="0"/>
          <w:color w:val="202722"/>
          <w:sz w:val="22"/>
        </w:rPr>
        <w:t>Content review for all AI-generated financial suggestions.</w:t>
      </w:r>
    </w:p>
    <w:p>
      <w:pPr>
        <w:pStyle w:val="Heading1"/>
        <w:keepNext/>
      </w:pPr>
      <w:r>
        <w:rPr>
          <w:rFonts w:ascii="Calibri" w:hAnsi="Calibri"/>
          <w:b/>
          <w:i w:val="0"/>
          <w:color w:val="0E573D"/>
          <w:sz w:val="32"/>
        </w:rPr>
        <w:t>25. Recommended Release Plan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0E573D"/>
            <w:vAlign w:val="center"/>
          </w:tcPr>
          <w:p>
            <w:pPr>
              <w:spacing w:after="0"/>
            </w:pPr>
            <w:r>
              <w:rPr>
                <w:rFonts w:ascii="Calibri" w:hAnsi="Calibri"/>
                <w:b/>
                <w:i w:val="0"/>
                <w:color w:val="FFFFFF"/>
                <w:sz w:val="20"/>
              </w:rPr>
              <w:t>Phase</w:t>
            </w:r>
          </w:p>
        </w:tc>
        <w:tc>
          <w:tcPr>
            <w:tcW w:type="dxa" w:w="7160"/>
            <w:tcMar>
              <w:top w:w="80" w:type="dxa"/>
              <w:start w:w="120" w:type="dxa"/>
              <w:bottom w:w="80" w:type="dxa"/>
              <w:end w:w="120" w:type="dxa"/>
            </w:tcMar>
            <w:shd w:fill="0E573D"/>
            <w:vAlign w:val="center"/>
          </w:tcPr>
          <w:p>
            <w:pPr>
              <w:spacing w:after="0"/>
            </w:pPr>
            <w:r>
              <w:rPr>
                <w:rFonts w:ascii="Calibri" w:hAnsi="Calibri"/>
                <w:b/>
                <w:i w:val="0"/>
                <w:color w:val="FFFFFF"/>
                <w:sz w:val="20"/>
              </w:rPr>
              <w:t>Scope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202722"/>
                <w:sz w:val="19"/>
              </w:rPr>
              <w:t>Phase 1 - Core tracker</w:t>
            </w:r>
          </w:p>
        </w:tc>
        <w:tc>
          <w:tcPr>
            <w:tcW w:type="dxa" w:w="7160"/>
            <w:vAlign w:val="center"/>
            <w:tcMar>
              <w:top w:w="80" w:type="dxa"/>
              <w:start w:w="120" w:type="dxa"/>
              <w:bottom w:w="80" w:type="dxa"/>
              <w:end w:w="120" w:type="dxa"/>
            </w:tcMar>
          </w:tcPr>
          <w:p>
            <w:pPr>
              <w:spacing w:after="0" w:line="264" w:lineRule="auto"/>
            </w:pPr>
            <w:r>
              <w:rPr>
                <w:rFonts w:ascii="Calibri" w:hAnsi="Calibri"/>
                <w:b w:val="0"/>
                <w:i w:val="0"/>
                <w:color w:val="202722"/>
                <w:sz w:val="19"/>
              </w:rPr>
              <w:t>Savings-only, expense-only and full mode; multiple income; expenses; bills; subscriptions; debts; goals; family spaces; child/teen framework; offline use; ZMW plus multi-currency storage.</w:t>
            </w:r>
          </w:p>
        </w:tc>
      </w:tr>
      <w:tr>
        <w:tc>
          <w:tcPr>
            <w:tcW w:type="dxa" w:w="22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Phase 2 - Smarter entry</w:t>
            </w:r>
          </w:p>
        </w:tc>
        <w:tc>
          <w:tcPr>
            <w:tcW w:type="dxa" w:w="71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Receipt capture, voice entry, permission-based SMS suggestions, stronger forecasting and “what-if” plans.</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202722"/>
                <w:sz w:val="19"/>
              </w:rPr>
              <w:t>Phase 3 - Regional readiness</w:t>
            </w:r>
          </w:p>
        </w:tc>
        <w:tc>
          <w:tcPr>
            <w:tcW w:type="dxa" w:w="7160"/>
            <w:vAlign w:val="center"/>
            <w:tcMar>
              <w:top w:w="80" w:type="dxa"/>
              <w:start w:w="120" w:type="dxa"/>
              <w:bottom w:w="80" w:type="dxa"/>
              <w:end w:w="120" w:type="dxa"/>
            </w:tcMar>
          </w:tcPr>
          <w:p>
            <w:pPr>
              <w:spacing w:after="0" w:line="264" w:lineRule="auto"/>
            </w:pPr>
            <w:r>
              <w:rPr>
                <w:rFonts w:ascii="Calibri" w:hAnsi="Calibri"/>
                <w:b w:val="0"/>
                <w:i w:val="0"/>
                <w:color w:val="202722"/>
                <w:sz w:val="19"/>
              </w:rPr>
              <w:t>Formal country packs, language expansion, local formatting and country-specific privacy/compliance review.</w:t>
            </w:r>
          </w:p>
        </w:tc>
      </w:tr>
      <w:tr>
        <w:tc>
          <w:tcPr>
            <w:tcW w:type="dxa" w:w="220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Phase 4 - Partner connections</w:t>
            </w:r>
          </w:p>
        </w:tc>
        <w:tc>
          <w:tcPr>
            <w:tcW w:type="dxa" w:w="7160"/>
            <w:shd w:fill="FBF7F0"/>
            <w:vAlign w:val="center"/>
            <w:tcMar>
              <w:top w:w="80" w:type="dxa"/>
              <w:start w:w="120" w:type="dxa"/>
              <w:bottom w:w="80" w:type="dxa"/>
              <w:end w:w="120" w:type="dxa"/>
            </w:tcMar>
          </w:tcPr>
          <w:p>
            <w:pPr>
              <w:spacing w:after="0" w:line="264" w:lineRule="auto"/>
            </w:pPr>
            <w:r>
              <w:rPr>
                <w:rFonts w:ascii="Calibri" w:hAnsi="Calibri"/>
                <w:b w:val="0"/>
                <w:i w:val="0"/>
                <w:color w:val="202722"/>
                <w:sz w:val="19"/>
              </w:rPr>
              <w:t>Optional links to regulated banks or mobile-money providers without abandoning manual tracking.</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i w:val="0"/>
                <w:color w:val="202722"/>
                <w:sz w:val="19"/>
              </w:rPr>
              <w:t>Phase 5 - Custody if justified</w:t>
            </w:r>
          </w:p>
        </w:tc>
        <w:tc>
          <w:tcPr>
            <w:tcW w:type="dxa" w:w="7160"/>
            <w:vAlign w:val="center"/>
            <w:tcMar>
              <w:top w:w="80" w:type="dxa"/>
              <w:start w:w="120" w:type="dxa"/>
              <w:bottom w:w="80" w:type="dxa"/>
              <w:end w:w="120" w:type="dxa"/>
            </w:tcMar>
          </w:tcPr>
          <w:p>
            <w:pPr>
              <w:spacing w:after="0" w:line="264" w:lineRule="auto"/>
            </w:pPr>
            <w:r>
              <w:rPr>
                <w:rFonts w:ascii="Calibri" w:hAnsi="Calibri"/>
                <w:b w:val="0"/>
                <w:i w:val="0"/>
                <w:color w:val="202722"/>
                <w:sz w:val="19"/>
              </w:rPr>
              <w:t>Real-money saving only after licensing/partnership, ledger, reconciliation, fees, complaints, beneficiary claims and operational controls are proven.</w:t>
            </w:r>
          </w:p>
        </w:tc>
      </w:tr>
    </w:tbl>
    <w:p>
      <w:pPr>
        <w:spacing w:after="40"/>
      </w:pPr>
    </w:p>
    <w:p>
      <w:pPr>
        <w:pStyle w:val="Heading1"/>
        <w:keepNext/>
      </w:pPr>
      <w:r>
        <w:rPr>
          <w:rFonts w:ascii="Calibri" w:hAnsi="Calibri"/>
          <w:b/>
          <w:i w:val="0"/>
          <w:color w:val="0E573D"/>
          <w:sz w:val="32"/>
        </w:rPr>
        <w:t>26. Phase 1 Acceptance Checklist</w:t>
      </w:r>
    </w:p>
    <w:p>
      <w:pPr>
        <w:pStyle w:val="ListBullet"/>
        <w:spacing w:after="80" w:line="300" w:lineRule="auto"/>
        <w:ind w:left="540" w:hanging="271"/>
      </w:pPr>
      <w:r>
        <w:rPr>
          <w:rFonts w:ascii="Calibri" w:hAnsi="Calibri"/>
          <w:b w:val="0"/>
          <w:i w:val="0"/>
          <w:color w:val="202722"/>
          <w:sz w:val="22"/>
        </w:rPr>
        <w:t>A user can complete onboarding without entering income.</w:t>
      </w:r>
    </w:p>
    <w:p>
      <w:pPr>
        <w:pStyle w:val="ListBullet"/>
        <w:spacing w:after="80" w:line="300" w:lineRule="auto"/>
        <w:ind w:left="540" w:hanging="271"/>
      </w:pPr>
      <w:r>
        <w:rPr>
          <w:rFonts w:ascii="Calibri" w:hAnsi="Calibri"/>
          <w:b w:val="0"/>
          <w:i w:val="0"/>
          <w:color w:val="202722"/>
          <w:sz w:val="22"/>
        </w:rPr>
        <w:t>A user can switch modes without losing records.</w:t>
      </w:r>
    </w:p>
    <w:p>
      <w:pPr>
        <w:pStyle w:val="ListBullet"/>
        <w:spacing w:after="80" w:line="300" w:lineRule="auto"/>
        <w:ind w:left="540" w:hanging="271"/>
      </w:pPr>
      <w:r>
        <w:rPr>
          <w:rFonts w:ascii="Calibri" w:hAnsi="Calibri"/>
          <w:b w:val="0"/>
          <w:i w:val="0"/>
          <w:color w:val="202722"/>
          <w:sz w:val="22"/>
        </w:rPr>
        <w:t>Multiple income sources total correctly; expected income remains unavailable until received.</w:t>
      </w:r>
    </w:p>
    <w:p>
      <w:pPr>
        <w:pStyle w:val="ListBullet"/>
        <w:spacing w:after="80" w:line="300" w:lineRule="auto"/>
        <w:ind w:left="540" w:hanging="271"/>
      </w:pPr>
      <w:r>
        <w:rPr>
          <w:rFonts w:ascii="Calibri" w:hAnsi="Calibri"/>
          <w:b w:val="0"/>
          <w:i w:val="0"/>
          <w:color w:val="202722"/>
          <w:sz w:val="22"/>
        </w:rPr>
        <w:t>Transfers do not inflate expenditure.</w:t>
      </w:r>
    </w:p>
    <w:p>
      <w:pPr>
        <w:pStyle w:val="ListBullet"/>
        <w:spacing w:after="80" w:line="300" w:lineRule="auto"/>
        <w:ind w:left="540" w:hanging="271"/>
      </w:pPr>
      <w:r>
        <w:rPr>
          <w:rFonts w:ascii="Calibri" w:hAnsi="Calibri"/>
          <w:b w:val="0"/>
          <w:i w:val="0"/>
          <w:color w:val="202722"/>
          <w:sz w:val="22"/>
        </w:rPr>
        <w:t>Savings deposits, withdrawals, missed contributions and target changes preserve history.</w:t>
      </w:r>
    </w:p>
    <w:p>
      <w:pPr>
        <w:pStyle w:val="ListBullet"/>
        <w:spacing w:after="80" w:line="300" w:lineRule="auto"/>
        <w:ind w:left="540" w:hanging="271"/>
      </w:pPr>
      <w:r>
        <w:rPr>
          <w:rFonts w:ascii="Calibri" w:hAnsi="Calibri"/>
          <w:b w:val="0"/>
          <w:i w:val="0"/>
          <w:color w:val="202722"/>
          <w:sz w:val="22"/>
        </w:rPr>
        <w:t>Savings-only guidance clearly distinguishes target calculations from affordability advice.</w:t>
      </w:r>
    </w:p>
    <w:p>
      <w:pPr>
        <w:pStyle w:val="ListBullet"/>
        <w:spacing w:after="80" w:line="300" w:lineRule="auto"/>
        <w:ind w:left="540" w:hanging="271"/>
      </w:pPr>
      <w:r>
        <w:rPr>
          <w:rFonts w:ascii="Calibri" w:hAnsi="Calibri"/>
          <w:b w:val="0"/>
          <w:i w:val="0"/>
          <w:color w:val="202722"/>
          <w:sz w:val="22"/>
        </w:rPr>
        <w:t>Family reports never expose private-space balances.</w:t>
      </w:r>
    </w:p>
    <w:p>
      <w:pPr>
        <w:pStyle w:val="ListBullet"/>
        <w:spacing w:after="80" w:line="300" w:lineRule="auto"/>
        <w:ind w:left="540" w:hanging="271"/>
      </w:pPr>
      <w:r>
        <w:rPr>
          <w:rFonts w:ascii="Calibri" w:hAnsi="Calibri"/>
          <w:b w:val="0"/>
          <w:i w:val="0"/>
          <w:color w:val="202722"/>
          <w:sz w:val="22"/>
        </w:rPr>
        <w:t>Guardian and teenager visibility follows the selected goal privacy level.</w:t>
      </w:r>
    </w:p>
    <w:p>
      <w:pPr>
        <w:pStyle w:val="ListBullet"/>
        <w:spacing w:after="80" w:line="300" w:lineRule="auto"/>
        <w:ind w:left="540" w:hanging="271"/>
      </w:pPr>
      <w:r>
        <w:rPr>
          <w:rFonts w:ascii="Calibri" w:hAnsi="Calibri"/>
          <w:b w:val="0"/>
          <w:i w:val="0"/>
          <w:color w:val="202722"/>
          <w:sz w:val="22"/>
        </w:rPr>
        <w:t>Offline entries synchronise without silent loss or duplication.</w:t>
      </w:r>
    </w:p>
    <w:p>
      <w:pPr>
        <w:pStyle w:val="ListBullet"/>
        <w:spacing w:after="80" w:line="300" w:lineRule="auto"/>
        <w:ind w:left="540" w:hanging="271"/>
      </w:pPr>
      <w:r>
        <w:rPr>
          <w:rFonts w:ascii="Calibri" w:hAnsi="Calibri"/>
          <w:b w:val="0"/>
          <w:i w:val="0"/>
          <w:color w:val="202722"/>
          <w:sz w:val="22"/>
        </w:rPr>
        <w:t>Every amount stores an ISO currency code; conversions preserve original values and rate metadata.</w:t>
      </w:r>
    </w:p>
    <w:p>
      <w:pPr>
        <w:pStyle w:val="ListBullet"/>
        <w:spacing w:after="80" w:line="300" w:lineRule="auto"/>
        <w:ind w:left="540" w:hanging="271"/>
      </w:pPr>
      <w:r>
        <w:rPr>
          <w:rFonts w:ascii="Calibri" w:hAnsi="Calibri"/>
          <w:b w:val="0"/>
          <w:i w:val="0"/>
          <w:color w:val="202722"/>
          <w:sz w:val="22"/>
        </w:rPr>
        <w:t>Essential expenses are protected from careless cost-cutting recommendations.</w:t>
      </w:r>
    </w:p>
    <w:p>
      <w:pPr>
        <w:pStyle w:val="ListBullet"/>
        <w:spacing w:after="80" w:line="300" w:lineRule="auto"/>
        <w:ind w:left="540" w:hanging="271"/>
      </w:pPr>
      <w:r>
        <w:rPr>
          <w:rFonts w:ascii="Calibri" w:hAnsi="Calibri"/>
          <w:b w:val="0"/>
          <w:i w:val="0"/>
          <w:color w:val="202722"/>
          <w:sz w:val="22"/>
        </w:rPr>
        <w:t>Users can export and delete their information without Premium.</w:t>
      </w:r>
    </w:p>
    <w:p>
      <w:pPr>
        <w:pStyle w:val="ListBullet"/>
        <w:spacing w:after="80" w:line="300" w:lineRule="auto"/>
        <w:ind w:left="540" w:hanging="271"/>
      </w:pPr>
      <w:r>
        <w:rPr>
          <w:rFonts w:ascii="Calibri" w:hAnsi="Calibri"/>
          <w:b w:val="0"/>
          <w:i w:val="0"/>
          <w:color w:val="202722"/>
          <w:sz w:val="22"/>
        </w:rPr>
        <w:t>The app clearly states that Sunga does not hold money.</w:t>
      </w:r>
    </w:p>
    <w:p>
      <w:pPr>
        <w:pStyle w:val="Heading1"/>
        <w:keepNext/>
      </w:pPr>
      <w:r>
        <w:rPr>
          <w:rFonts w:ascii="Calibri" w:hAnsi="Calibri"/>
          <w:b/>
          <w:i w:val="0"/>
          <w:color w:val="0E573D"/>
          <w:sz w:val="32"/>
        </w:rPr>
        <w:t>27. Decisions Still Requiring Validation</w:t>
      </w:r>
    </w:p>
    <w:p>
      <w:pPr>
        <w:pStyle w:val="ListBullet"/>
        <w:spacing w:after="80" w:line="300" w:lineRule="auto"/>
        <w:ind w:left="540" w:hanging="271"/>
      </w:pPr>
      <w:r>
        <w:rPr>
          <w:rFonts w:ascii="Calibri" w:hAnsi="Calibri"/>
          <w:b w:val="0"/>
          <w:i w:val="0"/>
          <w:color w:val="202722"/>
          <w:sz w:val="22"/>
        </w:rPr>
        <w:t>Exact age bands, consent wording and legal guardian powers for child and teen accounts.</w:t>
      </w:r>
    </w:p>
    <w:p>
      <w:pPr>
        <w:pStyle w:val="ListBullet"/>
        <w:spacing w:after="80" w:line="300" w:lineRule="auto"/>
        <w:ind w:left="540" w:hanging="271"/>
      </w:pPr>
      <w:r>
        <w:rPr>
          <w:rFonts w:ascii="Calibri" w:hAnsi="Calibri"/>
          <w:b w:val="0"/>
          <w:i w:val="0"/>
          <w:color w:val="202722"/>
          <w:sz w:val="22"/>
        </w:rPr>
        <w:t>Whether K2 monthly is economically collectible; compare a low annual plan.</w:t>
      </w:r>
    </w:p>
    <w:p>
      <w:pPr>
        <w:pStyle w:val="ListBullet"/>
        <w:spacing w:after="80" w:line="300" w:lineRule="auto"/>
        <w:ind w:left="540" w:hanging="271"/>
      </w:pPr>
      <w:r>
        <w:rPr>
          <w:rFonts w:ascii="Calibri" w:hAnsi="Calibri"/>
          <w:b w:val="0"/>
          <w:i w:val="0"/>
          <w:color w:val="202722"/>
          <w:sz w:val="22"/>
        </w:rPr>
        <w:t>Which family features belong in the free plan versus Premium without undermining basic usefulness.</w:t>
      </w:r>
    </w:p>
    <w:p>
      <w:pPr>
        <w:pStyle w:val="ListBullet"/>
        <w:spacing w:after="80" w:line="300" w:lineRule="auto"/>
        <w:ind w:left="540" w:hanging="271"/>
      </w:pPr>
      <w:r>
        <w:rPr>
          <w:rFonts w:ascii="Calibri" w:hAnsi="Calibri"/>
          <w:b w:val="0"/>
          <w:i w:val="0"/>
          <w:color w:val="202722"/>
          <w:sz w:val="22"/>
        </w:rPr>
        <w:t>First countries to receive formal support after Zambia.</w:t>
      </w:r>
    </w:p>
    <w:p>
      <w:pPr>
        <w:pStyle w:val="ListBullet"/>
        <w:spacing w:after="80" w:line="300" w:lineRule="auto"/>
        <w:ind w:left="540" w:hanging="271"/>
      </w:pPr>
      <w:r>
        <w:rPr>
          <w:rFonts w:ascii="Calibri" w:hAnsi="Calibri"/>
          <w:b w:val="0"/>
          <w:i w:val="0"/>
          <w:color w:val="202722"/>
          <w:sz w:val="22"/>
        </w:rPr>
        <w:t>Exchange-rate provider, update frequency and offline caching policy.</w:t>
      </w:r>
    </w:p>
    <w:p>
      <w:pPr>
        <w:pStyle w:val="ListBullet"/>
        <w:spacing w:after="80" w:line="300" w:lineRule="auto"/>
        <w:ind w:left="540" w:hanging="271"/>
      </w:pPr>
      <w:r>
        <w:rPr>
          <w:rFonts w:ascii="Calibri" w:hAnsi="Calibri"/>
          <w:b w:val="0"/>
          <w:i w:val="0"/>
          <w:color w:val="202722"/>
          <w:sz w:val="22"/>
        </w:rPr>
        <w:t>Which local languages should be prioritised after English.</w:t>
      </w:r>
    </w:p>
    <w:p>
      <w:pPr>
        <w:pStyle w:val="ListBullet"/>
        <w:spacing w:after="80" w:line="300" w:lineRule="auto"/>
        <w:ind w:left="540" w:hanging="271"/>
      </w:pPr>
      <w:r>
        <w:rPr>
          <w:rFonts w:ascii="Calibri" w:hAnsi="Calibri"/>
          <w:b w:val="0"/>
          <w:i w:val="0"/>
          <w:color w:val="202722"/>
          <w:sz w:val="22"/>
        </w:rPr>
        <w:t>Whether business tracking is included in Phase 1 or released immediately afterward.</w:t>
      </w:r>
    </w:p>
    <w:p>
      <w:pPr>
        <w:pStyle w:val="ListBullet"/>
        <w:spacing w:after="80" w:line="300" w:lineRule="auto"/>
        <w:ind w:left="540" w:hanging="271"/>
      </w:pPr>
      <w:r>
        <w:rPr>
          <w:rFonts w:ascii="Calibri" w:hAnsi="Calibri"/>
          <w:b w:val="0"/>
          <w:i w:val="0"/>
          <w:color w:val="202722"/>
          <w:sz w:val="22"/>
        </w:rPr>
        <w:t>Which regulated partner model is safest if Sunga later enables real saving.</w:t>
      </w:r>
    </w:p>
    <w:p>
      <w:r>
        <w:br w:type="page"/>
      </w:r>
    </w:p>
    <w:p>
      <w:pPr>
        <w:pStyle w:val="Heading1"/>
        <w:keepNext/>
      </w:pPr>
      <w:r>
        <w:rPr>
          <w:rFonts w:ascii="Calibri" w:hAnsi="Calibri"/>
          <w:b/>
          <w:i w:val="0"/>
          <w:color w:val="0E573D"/>
          <w:sz w:val="32"/>
        </w:rPr>
        <w:t>28. Reference and Compliance Notes</w:t>
      </w:r>
    </w:p>
    <w:p>
      <w:pPr>
        <w:pStyle w:val="ListBullet"/>
        <w:spacing w:after="80" w:line="300" w:lineRule="auto"/>
        <w:ind w:left="540" w:hanging="271"/>
      </w:pPr>
      <w:r>
        <w:rPr>
          <w:rFonts w:ascii="Calibri" w:hAnsi="Calibri"/>
          <w:b w:val="0"/>
          <w:i w:val="0"/>
          <w:color w:val="202722"/>
          <w:sz w:val="22"/>
        </w:rPr>
        <w:t>Zambia Data Protection Commission: https://www.dataprotection.gov.zm/</w:t>
      </w:r>
    </w:p>
    <w:p>
      <w:pPr>
        <w:pStyle w:val="ListBullet"/>
        <w:spacing w:after="80" w:line="300" w:lineRule="auto"/>
        <w:ind w:left="540" w:hanging="271"/>
      </w:pPr>
      <w:r>
        <w:rPr>
          <w:rFonts w:ascii="Calibri" w:hAnsi="Calibri"/>
          <w:b w:val="0"/>
          <w:i w:val="0"/>
          <w:color w:val="202722"/>
          <w:sz w:val="22"/>
        </w:rPr>
        <w:t>DPC registration portal and cross-border data questions: https://registration.dataprotection.gov.zm/</w:t>
      </w:r>
    </w:p>
    <w:p>
      <w:pPr>
        <w:pStyle w:val="ListBullet"/>
        <w:spacing w:after="80" w:line="300" w:lineRule="auto"/>
        <w:ind w:left="540" w:hanging="271"/>
      </w:pPr>
      <w:r>
        <w:rPr>
          <w:rFonts w:ascii="Calibri" w:hAnsi="Calibri"/>
          <w:b w:val="0"/>
          <w:i w:val="0"/>
          <w:color w:val="202722"/>
          <w:sz w:val="22"/>
        </w:rPr>
        <w:t>Bank of Zambia regulatory sandbox: https://www.boz.zm/regulatory-sandbox.htm</w:t>
      </w:r>
    </w:p>
    <w:p>
      <w:pPr>
        <w:pStyle w:val="ListBullet"/>
        <w:spacing w:after="80" w:line="300" w:lineRule="auto"/>
        <w:ind w:left="540" w:hanging="271"/>
      </w:pPr>
      <w:r>
        <w:rPr>
          <w:rFonts w:ascii="Calibri" w:hAnsi="Calibri"/>
          <w:b w:val="0"/>
          <w:i w:val="0"/>
          <w:color w:val="202722"/>
          <w:sz w:val="22"/>
        </w:rPr>
        <w:t>Bank of Zambia exchange-rate information: https://www.boz.zm/markets-securities</w:t>
      </w:r>
    </w:p>
    <w:p>
      <w:pPr>
        <w:pStyle w:val="ListBullet"/>
        <w:spacing w:after="80" w:line="300" w:lineRule="auto"/>
        <w:ind w:left="540" w:hanging="271"/>
      </w:pPr>
      <w:r>
        <w:rPr>
          <w:rFonts w:ascii="Calibri" w:hAnsi="Calibri"/>
          <w:b w:val="0"/>
          <w:i w:val="0"/>
          <w:color w:val="202722"/>
          <w:sz w:val="22"/>
        </w:rPr>
        <w:t>Bank of Zambia deposit-insurance information: https://www.boz.zm/financial-stability/deposit-insurance-scheme</w:t>
      </w:r>
    </w:p>
    <w:p>
      <w:pPr>
        <w:pStyle w:val="ListBullet"/>
        <w:spacing w:after="80" w:line="300" w:lineRule="auto"/>
        <w:ind w:left="540" w:hanging="271"/>
      </w:pPr>
      <w:r>
        <w:rPr>
          <w:rFonts w:ascii="Calibri" w:hAnsi="Calibri"/>
          <w:b w:val="0"/>
          <w:i w:val="0"/>
          <w:color w:val="202722"/>
          <w:sz w:val="22"/>
        </w:rPr>
        <w:t>Financial Intelligence Centre customer-due-diligence guidance: https://fic.gov.zm/component/attachments/download/79</w:t>
      </w:r>
    </w:p>
    <w:p>
      <w:pPr>
        <w:pStyle w:val="ListBullet"/>
        <w:spacing w:after="80" w:line="300" w:lineRule="auto"/>
        <w:ind w:left="540" w:hanging="271"/>
      </w:pPr>
      <w:r>
        <w:rPr>
          <w:rFonts w:ascii="Calibri" w:hAnsi="Calibri"/>
          <w:b w:val="0"/>
          <w:i w:val="0"/>
          <w:color w:val="202722"/>
          <w:sz w:val="22"/>
        </w:rPr>
        <w:t>Children's Code Act, 2022: https://www.parliament.gov.zm/sites/default/files/documents/acts/ACT%20No.%2012%20OF%202022%2CThe%20Children%27s%20Code%20FINAL.pdf</w:t>
      </w:r>
    </w:p>
    <w:p>
      <w:pPr>
        <w:pStyle w:val="ListBullet"/>
        <w:spacing w:after="80" w:line="300" w:lineRule="auto"/>
        <w:ind w:left="540" w:hanging="271"/>
      </w:pPr>
      <w:r>
        <w:rPr>
          <w:rFonts w:ascii="Calibri" w:hAnsi="Calibri"/>
          <w:b w:val="0"/>
          <w:i w:val="0"/>
          <w:color w:val="202722"/>
          <w:sz w:val="22"/>
        </w:rPr>
        <w:t>National Pension Scheme Act - distinctions among beneficiaries, estate and next of kin: https://www.parliament.gov.zm/sites/default/files/documents/acts/Act%20No.%2072%2C%20The%20National%20Pension%20Scheme%20Act%20%281%29.pdf</w:t>
      </w:r>
    </w:p>
    <w:p>
      <w:pPr>
        <w:pStyle w:val="ListBullet"/>
        <w:spacing w:after="80" w:line="300" w:lineRule="auto"/>
        <w:ind w:left="540" w:hanging="271"/>
      </w:pPr>
      <w:r>
        <w:rPr>
          <w:rFonts w:ascii="Calibri" w:hAnsi="Calibri"/>
          <w:b w:val="0"/>
          <w:i w:val="0"/>
          <w:color w:val="202722"/>
          <w:sz w:val="22"/>
        </w:rPr>
        <w:t>ISO 4217 currency codes: https://www.iso.org/iso-4217-currency-codes.html</w:t>
      </w:r>
    </w:p>
    <w:p>
      <w:pPr>
        <w:spacing w:before="0" w:after="120" w:line="300" w:lineRule="auto"/>
      </w:pPr>
      <w:r>
        <w:rPr>
          <w:rFonts w:ascii="Calibri" w:hAnsi="Calibri"/>
          <w:b w:val="0"/>
          <w:i/>
          <w:color w:val="202722"/>
          <w:sz w:val="22"/>
        </w:rPr>
        <w:t>These sources support planning but do not replace legal, financial, child-protection or regulatory advice. Requirements must be rechecked before launch and before each new country or financial-custody phase.</w:t>
      </w:r>
    </w:p>
    <w:p>
      <w:pPr>
        <w:pStyle w:val="Heading1"/>
        <w:keepNext/>
      </w:pPr>
      <w:r>
        <w:rPr>
          <w:rFonts w:ascii="Calibri" w:hAnsi="Calibri"/>
          <w:b/>
          <w:i w:val="0"/>
          <w:color w:val="0E573D"/>
          <w:sz w:val="32"/>
        </w:rPr>
        <w:t>29. Final Product Definition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0E5"/>
          </w:tcPr>
          <w:p>
            <w:pPr>
              <w:spacing w:after="0" w:line="288" w:lineRule="auto"/>
            </w:pPr>
            <w:r>
              <w:rPr>
                <w:rFonts w:ascii="Calibri" w:hAnsi="Calibri"/>
                <w:b/>
                <w:i w:val="0"/>
                <w:color w:val="0E573D"/>
                <w:sz w:val="22"/>
              </w:rPr>
              <w:t xml:space="preserve">Sunga is: </w:t>
            </w:r>
            <w:r>
              <w:rPr>
                <w:rFonts w:ascii="Calibri" w:hAnsi="Calibri"/>
                <w:b w:val="0"/>
                <w:i w:val="0"/>
                <w:color w:val="202722"/>
                <w:sz w:val="22"/>
              </w:rPr>
              <w:t>A free-first, Africa-ready budgeting and savings tracker that starts in Zambia; supports adults, families, teenagers and children; respects private and shared money spaces; handles small, multiple and irregular income; supports savings-only use; offers transparent multi-currency estimates; and provides optional, respectful financial guidance.</w:t>
            </w:r>
          </w:p>
        </w:tc>
        <w:trPr>
          <w:tblHeader/>
        </w:trPr>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BF7F0"/>
          </w:tcPr>
          <w:p>
            <w:pPr>
              <w:spacing w:after="0" w:line="288" w:lineRule="auto"/>
            </w:pPr>
            <w:r>
              <w:rPr>
                <w:rFonts w:ascii="Calibri" w:hAnsi="Calibri"/>
                <w:b/>
                <w:i w:val="0"/>
                <w:color w:val="0E573D"/>
                <w:sz w:val="22"/>
              </w:rPr>
              <w:t xml:space="preserve">Sunga is not initially: </w:t>
            </w:r>
            <w:r>
              <w:rPr>
                <w:rFonts w:ascii="Calibri" w:hAnsi="Calibri"/>
                <w:b w:val="0"/>
                <w:i w:val="0"/>
                <w:color w:val="202722"/>
                <w:sz w:val="22"/>
              </w:rPr>
              <w:t>A bank, wallet, investment product or money-transfer service. Real-money saving is a later, separately governed phase requiring suitable partners, legal review and operational safeguards.</w:t>
            </w:r>
          </w:p>
        </w:tc>
        <w:trPr>
          <w:tblHeader/>
        </w:trPr>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860"/>
        <w:sz w:val="17"/>
      </w:rPr>
      <w:t>Working product specification | 11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D6860"/>
        <w:sz w:val="17"/>
      </w:rPr>
      <w:t>SUNGA | COMPLETE PRODUCT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E573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E573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D968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Sunga - Complete Product Concept and Requirements</dc:title>
  <dc:subject>Complete working product specification for the Sunga budgeting and savings tracker</dc:subject>
  <dc:creator>Zed Technologies Ltd</dc:creator>
  <cp:keywords>Sunga, budgeting, savings, Africa, Zambia, family finance,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