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能耗管理系统使用说明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主要</w:t>
      </w:r>
      <w:bookmarkEnd w:id="0"/>
      <w:r>
        <w:rPr>
          <w:rFonts w:hint="eastAsia"/>
          <w:lang w:val="en-US" w:eastAsia="zh-CN"/>
        </w:rPr>
        <w:t>功能都在左侧菜单栏，可以点击进入相应页面，默认在首页面。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包含最近一个月的能耗数据，电能的分项数据，汇总数据，以及周边环境数据。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22190" cy="2712720"/>
            <wp:effectExtent l="0" t="0" r="16510" b="11430"/>
            <wp:docPr id="1" name="图片 1" descr="15792652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926525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监测分析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包含总能耗分项柱状图，各个类型能耗柱状图，以及分项饼图和折线图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02455" cy="2477135"/>
            <wp:effectExtent l="0" t="0" r="17145" b="18415"/>
            <wp:docPr id="2" name="图片 2" descr="1579265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92653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（总能耗柱状图）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6940" cy="2659380"/>
            <wp:effectExtent l="0" t="0" r="16510" b="7620"/>
            <wp:docPr id="3" name="图片 3" descr="15792653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926538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（电能耗柱状图）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4080" cy="2646680"/>
            <wp:effectExtent l="0" t="0" r="1270" b="1270"/>
            <wp:docPr id="4" name="图片 4" descr="15792654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926540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（电能耗分项）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总用能统计，总费用统计，以及各个分项统计，柱状图是按月汇总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5965" cy="2557145"/>
            <wp:effectExtent l="0" t="0" r="6985" b="14605"/>
            <wp:docPr id="5" name="图片 5" descr="15792654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926549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主要对设备，分组等信息进行配置，一般不用修改。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20920" cy="2712085"/>
            <wp:effectExtent l="0" t="0" r="17780" b="12065"/>
            <wp:docPr id="6" name="图片 6" descr="15792655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926554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（各个分项配置，不同项可分别修改接入的仪表）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2985" cy="2719070"/>
            <wp:effectExtent l="0" t="0" r="5715" b="5080"/>
            <wp:docPr id="7" name="图片 7" descr="15792655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926555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（仪表列表）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8236E"/>
    <w:rsid w:val="09512469"/>
    <w:rsid w:val="4EFD0A6B"/>
    <w:rsid w:val="7378236E"/>
    <w:rsid w:val="75471089"/>
    <w:rsid w:val="7870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2020-01-17T12:36:00Z</dcterms:created>
  <dc:creator>Administrator</dc:creator>
  <cp:lastModifiedBy>Administrator</cp:lastModifiedBy>
  <dcterms:modified xsi:type="dcterms:W3CDTF">2020-01-17T12:58:19Z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