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822FF" w14:textId="77777777" w:rsidR="00A272FC" w:rsidRPr="00C125EA" w:rsidRDefault="00000000">
      <w:pPr>
        <w:pStyle w:val="Title"/>
        <w:pBdr>
          <w:top w:val="nil"/>
          <w:left w:val="nil"/>
          <w:bottom w:val="nil"/>
          <w:right w:val="nil"/>
          <w:between w:val="nil"/>
        </w:pBdr>
        <w:rPr>
          <w:rFonts w:ascii="Arial" w:eastAsia="Proxima Nova" w:hAnsi="Arial" w:cs="Arial"/>
          <w:b/>
          <w:color w:val="4A86E8"/>
          <w:sz w:val="60"/>
          <w:szCs w:val="60"/>
        </w:rPr>
      </w:pPr>
      <w:bookmarkStart w:id="0" w:name="_5x0d5h95i329" w:colFirst="0" w:colLast="0"/>
      <w:bookmarkEnd w:id="0"/>
      <w:r w:rsidRPr="00C125EA">
        <w:rPr>
          <w:rFonts w:ascii="Arial" w:hAnsi="Arial" w:cs="Arial"/>
          <w:b/>
          <w:color w:val="4A86E8"/>
          <w:sz w:val="60"/>
          <w:szCs w:val="60"/>
        </w:rPr>
        <w:t>Vulnerability Assessment Report</w:t>
      </w:r>
    </w:p>
    <w:p w14:paraId="13382300" w14:textId="77777777" w:rsidR="00A272FC" w:rsidRPr="00C125EA" w:rsidRDefault="00000000">
      <w:pPr>
        <w:pStyle w:val="Subtitle"/>
        <w:pBdr>
          <w:top w:val="nil"/>
          <w:left w:val="nil"/>
          <w:bottom w:val="nil"/>
          <w:right w:val="nil"/>
          <w:between w:val="nil"/>
        </w:pBdr>
        <w:rPr>
          <w:rFonts w:ascii="Arial" w:hAnsi="Arial" w:cs="Arial"/>
          <w:b/>
          <w:sz w:val="28"/>
          <w:szCs w:val="28"/>
        </w:rPr>
      </w:pPr>
      <w:bookmarkStart w:id="1" w:name="_af80tl7prv5v" w:colFirst="0" w:colLast="0"/>
      <w:bookmarkEnd w:id="1"/>
      <w:r w:rsidRPr="00C125EA">
        <w:rPr>
          <w:rFonts w:ascii="Arial" w:hAnsi="Arial" w:cs="Arial"/>
          <w:b/>
          <w:sz w:val="28"/>
          <w:szCs w:val="28"/>
        </w:rPr>
        <w:t>1</w:t>
      </w:r>
      <w:r w:rsidRPr="00C125EA">
        <w:rPr>
          <w:rFonts w:ascii="Arial" w:hAnsi="Arial" w:cs="Arial"/>
          <w:b/>
          <w:sz w:val="28"/>
          <w:szCs w:val="28"/>
          <w:vertAlign w:val="superscript"/>
        </w:rPr>
        <w:t>st</w:t>
      </w:r>
      <w:r w:rsidRPr="00C125EA">
        <w:rPr>
          <w:rFonts w:ascii="Arial" w:hAnsi="Arial" w:cs="Arial"/>
          <w:b/>
          <w:sz w:val="28"/>
          <w:szCs w:val="28"/>
        </w:rPr>
        <w:t xml:space="preserve"> January 20XX</w:t>
      </w:r>
    </w:p>
    <w:p w14:paraId="13382301" w14:textId="77777777" w:rsidR="00A272FC" w:rsidRPr="00C125EA" w:rsidRDefault="00C712EC">
      <w:pPr>
        <w:pStyle w:val="Subtitle"/>
        <w:pBdr>
          <w:top w:val="nil"/>
          <w:left w:val="nil"/>
          <w:bottom w:val="nil"/>
          <w:right w:val="nil"/>
          <w:between w:val="nil"/>
        </w:pBdr>
        <w:rPr>
          <w:rFonts w:ascii="Arial" w:hAnsi="Arial" w:cs="Arial"/>
          <w:b/>
          <w:sz w:val="28"/>
          <w:szCs w:val="28"/>
        </w:rPr>
      </w:pPr>
      <w:bookmarkStart w:id="2" w:name="_nhcy8rpxthcf" w:colFirst="0" w:colLast="0"/>
      <w:bookmarkEnd w:id="2"/>
      <w:r w:rsidRPr="00C712EC">
        <w:rPr>
          <w:rFonts w:ascii="Arial" w:hAnsi="Arial" w:cs="Arial"/>
          <w:noProof/>
        </w:rPr>
        <w:pict w14:anchorId="13382327">
          <v:rect id="_x0000_i1025" alt="" style="width:468pt;height:.05pt;mso-width-percent:0;mso-height-percent:0;mso-width-percent:0;mso-height-percent:0" o:hralign="center" o:hrstd="t" o:hr="t" fillcolor="#a0a0a0" stroked="f"/>
        </w:pict>
      </w:r>
    </w:p>
    <w:p w14:paraId="13382302" w14:textId="77777777" w:rsidR="00A272FC" w:rsidRPr="00C125EA" w:rsidRDefault="00000000">
      <w:pPr>
        <w:pStyle w:val="Heading1"/>
        <w:pBdr>
          <w:top w:val="nil"/>
          <w:left w:val="nil"/>
          <w:bottom w:val="nil"/>
          <w:right w:val="nil"/>
          <w:between w:val="nil"/>
        </w:pBdr>
        <w:rPr>
          <w:rFonts w:ascii="Arial" w:hAnsi="Arial" w:cs="Arial"/>
        </w:rPr>
      </w:pPr>
      <w:bookmarkStart w:id="3" w:name="_buc6q0k08dmn" w:colFirst="0" w:colLast="0"/>
      <w:bookmarkEnd w:id="3"/>
      <w:r w:rsidRPr="00C125EA">
        <w:rPr>
          <w:rFonts w:ascii="Arial" w:hAnsi="Arial" w:cs="Arial"/>
        </w:rPr>
        <w:t>System Description</w:t>
      </w:r>
    </w:p>
    <w:p w14:paraId="13382303" w14:textId="77777777" w:rsidR="00A272FC" w:rsidRPr="00C125EA" w:rsidRDefault="00000000">
      <w:pPr>
        <w:pBdr>
          <w:top w:val="nil"/>
          <w:left w:val="nil"/>
          <w:bottom w:val="nil"/>
          <w:right w:val="nil"/>
          <w:between w:val="nil"/>
        </w:pBdr>
        <w:rPr>
          <w:rFonts w:ascii="Arial" w:hAnsi="Arial" w:cs="Arial"/>
        </w:rPr>
      </w:pPr>
      <w:r w:rsidRPr="00C125EA">
        <w:rPr>
          <w:rFonts w:ascii="Arial" w:hAnsi="Arial" w:cs="Arial"/>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13382304" w14:textId="77777777" w:rsidR="00A272FC" w:rsidRPr="00C125EA" w:rsidRDefault="00000000">
      <w:pPr>
        <w:pStyle w:val="Heading1"/>
        <w:rPr>
          <w:rFonts w:ascii="Arial" w:hAnsi="Arial" w:cs="Arial"/>
        </w:rPr>
      </w:pPr>
      <w:bookmarkStart w:id="4" w:name="_u0z0ia4c7s7z" w:colFirst="0" w:colLast="0"/>
      <w:bookmarkEnd w:id="4"/>
      <w:r w:rsidRPr="00C125EA">
        <w:rPr>
          <w:rFonts w:ascii="Arial" w:hAnsi="Arial" w:cs="Arial"/>
        </w:rPr>
        <w:t>Scope</w:t>
      </w:r>
    </w:p>
    <w:p w14:paraId="13382305" w14:textId="77777777" w:rsidR="00A272FC" w:rsidRPr="00C125EA" w:rsidRDefault="00000000">
      <w:pPr>
        <w:rPr>
          <w:rFonts w:ascii="Arial" w:hAnsi="Arial" w:cs="Arial"/>
        </w:rPr>
      </w:pPr>
      <w:r w:rsidRPr="00C125EA">
        <w:rPr>
          <w:rFonts w:ascii="Arial" w:hAnsi="Arial" w:cs="Arial"/>
        </w:rPr>
        <w:t xml:space="preserve">The scope of this vulnerability assessment relates to the current access controls of the system. The assessment will cover a period of three months, from June 20XX to August 20XX. </w:t>
      </w:r>
      <w:hyperlink r:id="rId6">
        <w:r w:rsidRPr="00C125EA">
          <w:rPr>
            <w:rFonts w:ascii="Arial" w:hAnsi="Arial" w:cs="Arial"/>
            <w:color w:val="1155CC"/>
            <w:u w:val="single"/>
          </w:rPr>
          <w:t>NIST SP 800-30 Rev. 1</w:t>
        </w:r>
      </w:hyperlink>
      <w:r w:rsidRPr="00C125EA">
        <w:rPr>
          <w:rFonts w:ascii="Arial" w:hAnsi="Arial" w:cs="Arial"/>
        </w:rPr>
        <w:t xml:space="preserve"> is used to guide the risk analysis of the information system.</w:t>
      </w:r>
    </w:p>
    <w:p w14:paraId="13382306" w14:textId="77777777" w:rsidR="00A272FC" w:rsidRPr="00C125EA" w:rsidRDefault="00000000">
      <w:pPr>
        <w:pStyle w:val="Heading1"/>
        <w:rPr>
          <w:rFonts w:ascii="Arial" w:hAnsi="Arial" w:cs="Arial"/>
        </w:rPr>
      </w:pPr>
      <w:bookmarkStart w:id="5" w:name="_oymnw3nlvwib" w:colFirst="0" w:colLast="0"/>
      <w:bookmarkEnd w:id="5"/>
      <w:r w:rsidRPr="00C125EA">
        <w:rPr>
          <w:rFonts w:ascii="Arial" w:hAnsi="Arial" w:cs="Arial"/>
        </w:rPr>
        <w:t>Purpose</w:t>
      </w:r>
    </w:p>
    <w:p w14:paraId="13382307" w14:textId="77777777" w:rsidR="00A272FC" w:rsidRPr="00C125EA" w:rsidRDefault="00000000">
      <w:pPr>
        <w:rPr>
          <w:rFonts w:ascii="Arial" w:hAnsi="Arial" w:cs="Arial"/>
        </w:rPr>
      </w:pPr>
      <w:r w:rsidRPr="00C125EA">
        <w:rPr>
          <w:rFonts w:ascii="Arial" w:hAnsi="Arial" w:cs="Arial"/>
        </w:rPr>
        <w:t>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14:paraId="13382308" w14:textId="77777777" w:rsidR="00A272FC" w:rsidRPr="00C125EA" w:rsidRDefault="00000000">
      <w:pPr>
        <w:pStyle w:val="Heading1"/>
        <w:pBdr>
          <w:top w:val="nil"/>
          <w:left w:val="nil"/>
          <w:bottom w:val="nil"/>
          <w:right w:val="nil"/>
          <w:between w:val="nil"/>
        </w:pBdr>
        <w:rPr>
          <w:rFonts w:ascii="Arial" w:hAnsi="Arial" w:cs="Arial"/>
        </w:rPr>
      </w:pPr>
      <w:bookmarkStart w:id="6" w:name="_i2ip4lwifo50" w:colFirst="0" w:colLast="0"/>
      <w:bookmarkEnd w:id="6"/>
      <w:r w:rsidRPr="00C125EA">
        <w:rPr>
          <w:rFonts w:ascii="Arial" w:hAnsi="Arial" w:cs="Arial"/>
        </w:rPr>
        <w:t>Risk Assessment</w:t>
      </w:r>
    </w:p>
    <w:p w14:paraId="13382309" w14:textId="77777777" w:rsidR="00A272FC" w:rsidRPr="00C125EA" w:rsidRDefault="00A272FC">
      <w:pPr>
        <w:pBdr>
          <w:top w:val="nil"/>
          <w:left w:val="nil"/>
          <w:bottom w:val="nil"/>
          <w:right w:val="nil"/>
          <w:between w:val="nil"/>
        </w:pBdr>
        <w:rPr>
          <w:rFonts w:ascii="Arial" w:hAnsi="Arial" w:cs="Arial"/>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A272FC" w:rsidRPr="00C125EA" w14:paraId="1338230F" w14:textId="77777777">
        <w:tc>
          <w:tcPr>
            <w:tcW w:w="1860" w:type="dxa"/>
            <w:shd w:val="clear" w:color="auto" w:fill="C9DAF8"/>
            <w:tcMar>
              <w:top w:w="100" w:type="dxa"/>
              <w:left w:w="100" w:type="dxa"/>
              <w:bottom w:w="100" w:type="dxa"/>
              <w:right w:w="100" w:type="dxa"/>
            </w:tcMar>
          </w:tcPr>
          <w:p w14:paraId="1338230A" w14:textId="77777777" w:rsidR="00A272FC" w:rsidRPr="00C125EA" w:rsidRDefault="00000000">
            <w:pPr>
              <w:widowControl w:val="0"/>
              <w:pBdr>
                <w:top w:val="nil"/>
                <w:left w:val="nil"/>
                <w:bottom w:val="nil"/>
                <w:right w:val="nil"/>
                <w:between w:val="nil"/>
              </w:pBdr>
              <w:spacing w:before="0" w:line="240" w:lineRule="auto"/>
              <w:rPr>
                <w:rFonts w:ascii="Arial" w:hAnsi="Arial" w:cs="Arial"/>
                <w:b/>
              </w:rPr>
            </w:pPr>
            <w:r w:rsidRPr="00C125EA">
              <w:rPr>
                <w:rFonts w:ascii="Arial" w:hAnsi="Arial" w:cs="Arial"/>
                <w:b/>
              </w:rPr>
              <w:t>Threat source</w:t>
            </w:r>
          </w:p>
        </w:tc>
        <w:tc>
          <w:tcPr>
            <w:tcW w:w="3615" w:type="dxa"/>
            <w:shd w:val="clear" w:color="auto" w:fill="C9DAF8"/>
            <w:tcMar>
              <w:top w:w="100" w:type="dxa"/>
              <w:left w:w="100" w:type="dxa"/>
              <w:bottom w:w="100" w:type="dxa"/>
              <w:right w:w="100" w:type="dxa"/>
            </w:tcMar>
          </w:tcPr>
          <w:p w14:paraId="1338230B" w14:textId="77777777" w:rsidR="00A272FC" w:rsidRPr="00C125EA" w:rsidRDefault="00000000">
            <w:pPr>
              <w:widowControl w:val="0"/>
              <w:pBdr>
                <w:top w:val="nil"/>
                <w:left w:val="nil"/>
                <w:bottom w:val="nil"/>
                <w:right w:val="nil"/>
                <w:between w:val="nil"/>
              </w:pBdr>
              <w:spacing w:before="0" w:line="240" w:lineRule="auto"/>
              <w:rPr>
                <w:rFonts w:ascii="Arial" w:hAnsi="Arial" w:cs="Arial"/>
                <w:b/>
              </w:rPr>
            </w:pPr>
            <w:r w:rsidRPr="00C125EA">
              <w:rPr>
                <w:rFonts w:ascii="Arial" w:hAnsi="Arial" w:cs="Arial"/>
                <w:b/>
              </w:rPr>
              <w:t>Threat event</w:t>
            </w:r>
          </w:p>
        </w:tc>
        <w:tc>
          <w:tcPr>
            <w:tcW w:w="1395" w:type="dxa"/>
            <w:shd w:val="clear" w:color="auto" w:fill="C9DAF8"/>
            <w:tcMar>
              <w:top w:w="100" w:type="dxa"/>
              <w:left w:w="100" w:type="dxa"/>
              <w:bottom w:w="100" w:type="dxa"/>
              <w:right w:w="100" w:type="dxa"/>
            </w:tcMar>
          </w:tcPr>
          <w:p w14:paraId="1338230C" w14:textId="77777777" w:rsidR="00A272FC" w:rsidRPr="00C125EA" w:rsidRDefault="00000000">
            <w:pPr>
              <w:widowControl w:val="0"/>
              <w:pBdr>
                <w:top w:val="nil"/>
                <w:left w:val="nil"/>
                <w:bottom w:val="nil"/>
                <w:right w:val="nil"/>
                <w:between w:val="nil"/>
              </w:pBdr>
              <w:spacing w:before="0" w:line="240" w:lineRule="auto"/>
              <w:rPr>
                <w:rFonts w:ascii="Arial" w:hAnsi="Arial" w:cs="Arial"/>
                <w:b/>
              </w:rPr>
            </w:pPr>
            <w:r w:rsidRPr="00C125EA">
              <w:rPr>
                <w:rFonts w:ascii="Arial" w:hAnsi="Arial" w:cs="Arial"/>
                <w:b/>
              </w:rPr>
              <w:t>Likelihood</w:t>
            </w:r>
          </w:p>
        </w:tc>
        <w:tc>
          <w:tcPr>
            <w:tcW w:w="1320" w:type="dxa"/>
            <w:shd w:val="clear" w:color="auto" w:fill="C9DAF8"/>
            <w:tcMar>
              <w:top w:w="100" w:type="dxa"/>
              <w:left w:w="100" w:type="dxa"/>
              <w:bottom w:w="100" w:type="dxa"/>
              <w:right w:w="100" w:type="dxa"/>
            </w:tcMar>
          </w:tcPr>
          <w:p w14:paraId="1338230D" w14:textId="77777777" w:rsidR="00A272FC" w:rsidRPr="00C125EA" w:rsidRDefault="00000000">
            <w:pPr>
              <w:widowControl w:val="0"/>
              <w:pBdr>
                <w:top w:val="nil"/>
                <w:left w:val="nil"/>
                <w:bottom w:val="nil"/>
                <w:right w:val="nil"/>
                <w:between w:val="nil"/>
              </w:pBdr>
              <w:spacing w:before="0" w:line="240" w:lineRule="auto"/>
              <w:rPr>
                <w:rFonts w:ascii="Arial" w:hAnsi="Arial" w:cs="Arial"/>
                <w:b/>
              </w:rPr>
            </w:pPr>
            <w:r w:rsidRPr="00C125EA">
              <w:rPr>
                <w:rFonts w:ascii="Arial" w:hAnsi="Arial" w:cs="Arial"/>
                <w:b/>
              </w:rPr>
              <w:t>Severity</w:t>
            </w:r>
          </w:p>
        </w:tc>
        <w:tc>
          <w:tcPr>
            <w:tcW w:w="1110" w:type="dxa"/>
            <w:shd w:val="clear" w:color="auto" w:fill="C9DAF8"/>
            <w:tcMar>
              <w:top w:w="100" w:type="dxa"/>
              <w:left w:w="100" w:type="dxa"/>
              <w:bottom w:w="100" w:type="dxa"/>
              <w:right w:w="100" w:type="dxa"/>
            </w:tcMar>
          </w:tcPr>
          <w:p w14:paraId="1338230E" w14:textId="77777777" w:rsidR="00A272FC" w:rsidRPr="00C125EA" w:rsidRDefault="00000000">
            <w:pPr>
              <w:widowControl w:val="0"/>
              <w:pBdr>
                <w:top w:val="nil"/>
                <w:left w:val="nil"/>
                <w:bottom w:val="nil"/>
                <w:right w:val="nil"/>
                <w:between w:val="nil"/>
              </w:pBdr>
              <w:spacing w:before="0" w:line="240" w:lineRule="auto"/>
              <w:rPr>
                <w:rFonts w:ascii="Arial" w:hAnsi="Arial" w:cs="Arial"/>
                <w:b/>
              </w:rPr>
            </w:pPr>
            <w:r w:rsidRPr="00C125EA">
              <w:rPr>
                <w:rFonts w:ascii="Arial" w:hAnsi="Arial" w:cs="Arial"/>
                <w:b/>
              </w:rPr>
              <w:t>Risk</w:t>
            </w:r>
          </w:p>
        </w:tc>
      </w:tr>
      <w:tr w:rsidR="00A272FC" w:rsidRPr="00C125EA" w14:paraId="13382315" w14:textId="77777777">
        <w:tc>
          <w:tcPr>
            <w:tcW w:w="1860" w:type="dxa"/>
            <w:shd w:val="clear" w:color="auto" w:fill="auto"/>
            <w:tcMar>
              <w:top w:w="100" w:type="dxa"/>
              <w:left w:w="100" w:type="dxa"/>
              <w:bottom w:w="100" w:type="dxa"/>
              <w:right w:w="100" w:type="dxa"/>
            </w:tcMar>
          </w:tcPr>
          <w:p w14:paraId="13382310"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Hacker</w:t>
            </w:r>
          </w:p>
        </w:tc>
        <w:tc>
          <w:tcPr>
            <w:tcW w:w="3615" w:type="dxa"/>
            <w:shd w:val="clear" w:color="auto" w:fill="auto"/>
            <w:tcMar>
              <w:top w:w="100" w:type="dxa"/>
              <w:left w:w="100" w:type="dxa"/>
              <w:bottom w:w="100" w:type="dxa"/>
              <w:right w:w="100" w:type="dxa"/>
            </w:tcMar>
          </w:tcPr>
          <w:p w14:paraId="13382311"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Obtain sensitive information via exfiltration</w:t>
            </w:r>
          </w:p>
        </w:tc>
        <w:tc>
          <w:tcPr>
            <w:tcW w:w="1395" w:type="dxa"/>
            <w:shd w:val="clear" w:color="auto" w:fill="auto"/>
            <w:tcMar>
              <w:top w:w="100" w:type="dxa"/>
              <w:left w:w="100" w:type="dxa"/>
              <w:bottom w:w="100" w:type="dxa"/>
              <w:right w:w="100" w:type="dxa"/>
            </w:tcMar>
          </w:tcPr>
          <w:p w14:paraId="13382312"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3</w:t>
            </w:r>
          </w:p>
        </w:tc>
        <w:tc>
          <w:tcPr>
            <w:tcW w:w="1320" w:type="dxa"/>
            <w:shd w:val="clear" w:color="auto" w:fill="auto"/>
            <w:tcMar>
              <w:top w:w="100" w:type="dxa"/>
              <w:left w:w="100" w:type="dxa"/>
              <w:bottom w:w="100" w:type="dxa"/>
              <w:right w:w="100" w:type="dxa"/>
            </w:tcMar>
          </w:tcPr>
          <w:p w14:paraId="13382313"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3</w:t>
            </w:r>
          </w:p>
        </w:tc>
        <w:tc>
          <w:tcPr>
            <w:tcW w:w="1110" w:type="dxa"/>
            <w:shd w:val="clear" w:color="auto" w:fill="auto"/>
            <w:tcMar>
              <w:top w:w="100" w:type="dxa"/>
              <w:left w:w="100" w:type="dxa"/>
              <w:bottom w:w="100" w:type="dxa"/>
              <w:right w:w="100" w:type="dxa"/>
            </w:tcMar>
          </w:tcPr>
          <w:p w14:paraId="13382314"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9</w:t>
            </w:r>
          </w:p>
        </w:tc>
      </w:tr>
      <w:tr w:rsidR="00A272FC" w:rsidRPr="00C125EA" w14:paraId="1338231B" w14:textId="77777777">
        <w:tc>
          <w:tcPr>
            <w:tcW w:w="1860" w:type="dxa"/>
            <w:shd w:val="clear" w:color="auto" w:fill="auto"/>
            <w:tcMar>
              <w:top w:w="100" w:type="dxa"/>
              <w:left w:w="100" w:type="dxa"/>
              <w:bottom w:w="100" w:type="dxa"/>
              <w:right w:w="100" w:type="dxa"/>
            </w:tcMar>
          </w:tcPr>
          <w:p w14:paraId="13382316"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Employee</w:t>
            </w:r>
          </w:p>
        </w:tc>
        <w:tc>
          <w:tcPr>
            <w:tcW w:w="3615" w:type="dxa"/>
            <w:shd w:val="clear" w:color="auto" w:fill="auto"/>
            <w:tcMar>
              <w:top w:w="100" w:type="dxa"/>
              <w:left w:w="100" w:type="dxa"/>
              <w:bottom w:w="100" w:type="dxa"/>
              <w:right w:w="100" w:type="dxa"/>
            </w:tcMar>
          </w:tcPr>
          <w:p w14:paraId="13382317"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Disrupt mission-critical operations</w:t>
            </w:r>
          </w:p>
        </w:tc>
        <w:tc>
          <w:tcPr>
            <w:tcW w:w="1395" w:type="dxa"/>
            <w:shd w:val="clear" w:color="auto" w:fill="auto"/>
            <w:tcMar>
              <w:top w:w="100" w:type="dxa"/>
              <w:left w:w="100" w:type="dxa"/>
              <w:bottom w:w="100" w:type="dxa"/>
              <w:right w:w="100" w:type="dxa"/>
            </w:tcMar>
          </w:tcPr>
          <w:p w14:paraId="13382318"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2</w:t>
            </w:r>
          </w:p>
        </w:tc>
        <w:tc>
          <w:tcPr>
            <w:tcW w:w="1320" w:type="dxa"/>
            <w:shd w:val="clear" w:color="auto" w:fill="auto"/>
            <w:tcMar>
              <w:top w:w="100" w:type="dxa"/>
              <w:left w:w="100" w:type="dxa"/>
              <w:bottom w:w="100" w:type="dxa"/>
              <w:right w:w="100" w:type="dxa"/>
            </w:tcMar>
          </w:tcPr>
          <w:p w14:paraId="13382319"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3</w:t>
            </w:r>
          </w:p>
        </w:tc>
        <w:tc>
          <w:tcPr>
            <w:tcW w:w="1110" w:type="dxa"/>
            <w:shd w:val="clear" w:color="auto" w:fill="auto"/>
            <w:tcMar>
              <w:top w:w="100" w:type="dxa"/>
              <w:left w:w="100" w:type="dxa"/>
              <w:bottom w:w="100" w:type="dxa"/>
              <w:right w:w="100" w:type="dxa"/>
            </w:tcMar>
          </w:tcPr>
          <w:p w14:paraId="1338231A"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6</w:t>
            </w:r>
          </w:p>
        </w:tc>
      </w:tr>
      <w:tr w:rsidR="00A272FC" w:rsidRPr="00C125EA" w14:paraId="13382321" w14:textId="77777777">
        <w:tc>
          <w:tcPr>
            <w:tcW w:w="1860" w:type="dxa"/>
            <w:shd w:val="clear" w:color="auto" w:fill="auto"/>
            <w:tcMar>
              <w:top w:w="100" w:type="dxa"/>
              <w:left w:w="100" w:type="dxa"/>
              <w:bottom w:w="100" w:type="dxa"/>
              <w:right w:w="100" w:type="dxa"/>
            </w:tcMar>
          </w:tcPr>
          <w:p w14:paraId="1338231C"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Customer</w:t>
            </w:r>
          </w:p>
        </w:tc>
        <w:tc>
          <w:tcPr>
            <w:tcW w:w="3615" w:type="dxa"/>
            <w:shd w:val="clear" w:color="auto" w:fill="auto"/>
            <w:tcMar>
              <w:top w:w="100" w:type="dxa"/>
              <w:left w:w="100" w:type="dxa"/>
              <w:bottom w:w="100" w:type="dxa"/>
              <w:right w:w="100" w:type="dxa"/>
            </w:tcMar>
          </w:tcPr>
          <w:p w14:paraId="1338231D"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Alter/Delete critical information</w:t>
            </w:r>
          </w:p>
        </w:tc>
        <w:tc>
          <w:tcPr>
            <w:tcW w:w="1395" w:type="dxa"/>
            <w:shd w:val="clear" w:color="auto" w:fill="auto"/>
            <w:tcMar>
              <w:top w:w="100" w:type="dxa"/>
              <w:left w:w="100" w:type="dxa"/>
              <w:bottom w:w="100" w:type="dxa"/>
              <w:right w:w="100" w:type="dxa"/>
            </w:tcMar>
          </w:tcPr>
          <w:p w14:paraId="1338231E"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1</w:t>
            </w:r>
          </w:p>
        </w:tc>
        <w:tc>
          <w:tcPr>
            <w:tcW w:w="1320" w:type="dxa"/>
            <w:shd w:val="clear" w:color="auto" w:fill="auto"/>
            <w:tcMar>
              <w:top w:w="100" w:type="dxa"/>
              <w:left w:w="100" w:type="dxa"/>
              <w:bottom w:w="100" w:type="dxa"/>
              <w:right w:w="100" w:type="dxa"/>
            </w:tcMar>
          </w:tcPr>
          <w:p w14:paraId="1338231F"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3</w:t>
            </w:r>
          </w:p>
        </w:tc>
        <w:tc>
          <w:tcPr>
            <w:tcW w:w="1110" w:type="dxa"/>
            <w:shd w:val="clear" w:color="auto" w:fill="auto"/>
            <w:tcMar>
              <w:top w:w="100" w:type="dxa"/>
              <w:left w:w="100" w:type="dxa"/>
              <w:bottom w:w="100" w:type="dxa"/>
              <w:right w:w="100" w:type="dxa"/>
            </w:tcMar>
          </w:tcPr>
          <w:p w14:paraId="13382320" w14:textId="77777777" w:rsidR="00A272FC" w:rsidRPr="00C125EA" w:rsidRDefault="00000000">
            <w:pPr>
              <w:widowControl w:val="0"/>
              <w:pBdr>
                <w:top w:val="nil"/>
                <w:left w:val="nil"/>
                <w:bottom w:val="nil"/>
                <w:right w:val="nil"/>
                <w:between w:val="nil"/>
              </w:pBdr>
              <w:spacing w:before="0" w:line="240" w:lineRule="auto"/>
              <w:rPr>
                <w:rFonts w:ascii="Arial" w:hAnsi="Arial" w:cs="Arial"/>
                <w:i/>
              </w:rPr>
            </w:pPr>
            <w:r w:rsidRPr="00C125EA">
              <w:rPr>
                <w:rFonts w:ascii="Arial" w:hAnsi="Arial" w:cs="Arial"/>
                <w:i/>
              </w:rPr>
              <w:t>3</w:t>
            </w:r>
          </w:p>
        </w:tc>
      </w:tr>
    </w:tbl>
    <w:p w14:paraId="13382322" w14:textId="77777777" w:rsidR="00A272FC" w:rsidRPr="00C125EA" w:rsidRDefault="00A272FC">
      <w:pPr>
        <w:pBdr>
          <w:top w:val="nil"/>
          <w:left w:val="nil"/>
          <w:bottom w:val="nil"/>
          <w:right w:val="nil"/>
          <w:between w:val="nil"/>
        </w:pBdr>
        <w:rPr>
          <w:rFonts w:ascii="Arial" w:hAnsi="Arial" w:cs="Arial"/>
        </w:rPr>
      </w:pPr>
    </w:p>
    <w:p w14:paraId="13382323" w14:textId="77777777" w:rsidR="00A272FC" w:rsidRPr="00C125EA" w:rsidRDefault="00000000">
      <w:pPr>
        <w:pStyle w:val="Heading1"/>
        <w:rPr>
          <w:rFonts w:ascii="Arial" w:hAnsi="Arial" w:cs="Arial"/>
        </w:rPr>
      </w:pPr>
      <w:bookmarkStart w:id="7" w:name="_a9ivkvfuz16w" w:colFirst="0" w:colLast="0"/>
      <w:bookmarkEnd w:id="7"/>
      <w:r w:rsidRPr="00C125EA">
        <w:rPr>
          <w:rFonts w:ascii="Arial" w:hAnsi="Arial" w:cs="Arial"/>
        </w:rPr>
        <w:lastRenderedPageBreak/>
        <w:t>Approach</w:t>
      </w:r>
    </w:p>
    <w:p w14:paraId="13382324" w14:textId="77777777" w:rsidR="00A272FC" w:rsidRPr="00C125EA" w:rsidRDefault="00000000">
      <w:pPr>
        <w:rPr>
          <w:rFonts w:ascii="Arial" w:hAnsi="Arial" w:cs="Arial"/>
        </w:rPr>
      </w:pPr>
      <w:r w:rsidRPr="00C125EA">
        <w:rPr>
          <w:rFonts w:ascii="Arial" w:hAnsi="Arial" w:cs="Arial"/>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t>
      </w:r>
      <w:proofErr w:type="gramStart"/>
      <w:r w:rsidRPr="00C125EA">
        <w:rPr>
          <w:rFonts w:ascii="Arial" w:hAnsi="Arial" w:cs="Arial"/>
        </w:rPr>
        <w:t>were</w:t>
      </w:r>
      <w:proofErr w:type="gramEnd"/>
      <w:r w:rsidRPr="00C125EA">
        <w:rPr>
          <w:rFonts w:ascii="Arial" w:hAnsi="Arial" w:cs="Arial"/>
        </w:rPr>
        <w:t xml:space="preserve"> weighed against the impact on day-to-day operational needs.</w:t>
      </w:r>
    </w:p>
    <w:p w14:paraId="13382325" w14:textId="77777777" w:rsidR="00A272FC" w:rsidRPr="00C125EA" w:rsidRDefault="00000000">
      <w:pPr>
        <w:pStyle w:val="Heading1"/>
        <w:pBdr>
          <w:top w:val="nil"/>
          <w:left w:val="nil"/>
          <w:bottom w:val="nil"/>
          <w:right w:val="nil"/>
          <w:between w:val="nil"/>
        </w:pBdr>
        <w:rPr>
          <w:rFonts w:ascii="Arial" w:hAnsi="Arial" w:cs="Arial"/>
        </w:rPr>
      </w:pPr>
      <w:bookmarkStart w:id="8" w:name="_vf6vykh0xvv7" w:colFirst="0" w:colLast="0"/>
      <w:bookmarkEnd w:id="8"/>
      <w:r w:rsidRPr="00C125EA">
        <w:rPr>
          <w:rFonts w:ascii="Arial" w:hAnsi="Arial" w:cs="Arial"/>
        </w:rPr>
        <w:t>Remediation Strategy</w:t>
      </w:r>
    </w:p>
    <w:p w14:paraId="13382326" w14:textId="77777777" w:rsidR="00A272FC" w:rsidRPr="00C125EA" w:rsidRDefault="00000000">
      <w:pPr>
        <w:pBdr>
          <w:top w:val="nil"/>
          <w:left w:val="nil"/>
          <w:bottom w:val="nil"/>
          <w:right w:val="nil"/>
          <w:between w:val="nil"/>
        </w:pBdr>
        <w:rPr>
          <w:rFonts w:ascii="Arial" w:hAnsi="Arial" w:cs="Arial"/>
        </w:rPr>
      </w:pPr>
      <w:r w:rsidRPr="00C125EA">
        <w:rPr>
          <w:rFonts w:ascii="Arial" w:hAnsi="Arial" w:cs="Arial"/>
        </w:rPr>
        <w:t>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p>
    <w:sectPr w:rsidR="00A272FC" w:rsidRPr="00C125EA">
      <w:headerReference w:type="default" r:id="rId7"/>
      <w:footerReference w:type="default" r:id="rId8"/>
      <w:headerReference w:type="first" r:id="rId9"/>
      <w:footerReference w:type="first" r:id="rId10"/>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7297A" w14:textId="77777777" w:rsidR="00C712EC" w:rsidRDefault="00C712EC">
      <w:pPr>
        <w:spacing w:before="0" w:line="240" w:lineRule="auto"/>
      </w:pPr>
      <w:r>
        <w:separator/>
      </w:r>
    </w:p>
  </w:endnote>
  <w:endnote w:type="continuationSeparator" w:id="0">
    <w:p w14:paraId="02C24FFC" w14:textId="77777777" w:rsidR="00C712EC" w:rsidRDefault="00C712E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panose1 w:val="020B0604020202020204"/>
    <w:charset w:val="00"/>
    <w:family w:val="auto"/>
    <w:pitch w:val="default"/>
    <w:embedRegular r:id="rId1" w:fontKey="{807D0D8F-83DA-6744-8EC7-1C9F9AF9E462}"/>
    <w:embedBold r:id="rId2" w:fontKey="{0B9A552E-D405-514A-899C-36F47B2E1288}"/>
    <w:embedItalic r:id="rId3" w:fontKey="{0F6AA040-3A57-D14D-90DF-17CA53479812}"/>
  </w:font>
  <w:font w:name="Proxima Nova">
    <w:charset w:val="00"/>
    <w:family w:val="auto"/>
    <w:pitch w:val="default"/>
    <w:embedRegular r:id="rId4" w:fontKey="{34EA5E5B-1308-8E46-91B1-E58AC768F743}"/>
    <w:embedBold r:id="rId5" w:fontKey="{87D3EDDB-8B92-5642-8630-0135AD8957B6}"/>
  </w:font>
  <w:font w:name="Trebuchet MS">
    <w:panose1 w:val="020B0603020202020204"/>
    <w:charset w:val="00"/>
    <w:family w:val="swiss"/>
    <w:pitch w:val="variable"/>
    <w:sig w:usb0="00000287" w:usb1="00000000" w:usb2="00000000" w:usb3="00000000" w:csb0="0000009F" w:csb1="00000000"/>
    <w:embedRegular r:id="rId6" w:fontKey="{74AC7FF7-5E9A-7B4C-865A-DB0CD4F5D704}"/>
    <w:embedItalic r:id="rId7" w:fontKey="{BA8A4B2A-E5AB-1A47-9BC5-1B311190273C}"/>
  </w:font>
  <w:font w:name="Times New Roman">
    <w:panose1 w:val="02020603050405020304"/>
    <w:charset w:val="00"/>
    <w:family w:val="roman"/>
    <w:pitch w:val="variable"/>
    <w:sig w:usb0="E0002EFF" w:usb1="C000785B" w:usb2="00000009" w:usb3="00000000" w:csb0="000001FF" w:csb1="00000000"/>
    <w:embedRegular r:id="rId8" w:fontKey="{5A6F5DFE-7051-8D43-9E71-62695C9CD3C9}"/>
  </w:font>
  <w:font w:name="Arial">
    <w:panose1 w:val="020B0604020202020204"/>
    <w:charset w:val="00"/>
    <w:family w:val="swiss"/>
    <w:pitch w:val="variable"/>
    <w:sig w:usb0="E0002EFF" w:usb1="C000785B" w:usb2="00000009" w:usb3="00000000" w:csb0="000001FF" w:csb1="00000000"/>
    <w:embedRegular r:id="rId9" w:fontKey="{1EE45C38-6EED-B149-AC46-2696ED6C7B85}"/>
    <w:embedBold r:id="rId10" w:fontKey="{83DD1A12-B293-6047-9FB2-127FF3016C0F}"/>
    <w:embedItalic r:id="rId11" w:fontKey="{E629BB00-52D9-AE4F-B0A3-FD0C26C88346}"/>
  </w:font>
  <w:font w:name="Calibri">
    <w:panose1 w:val="020F0502020204030204"/>
    <w:charset w:val="00"/>
    <w:family w:val="swiss"/>
    <w:pitch w:val="variable"/>
    <w:sig w:usb0="E4002EFF" w:usb1="C200247B" w:usb2="00000009" w:usb3="00000000" w:csb0="000001FF" w:csb1="00000000"/>
    <w:embedRegular r:id="rId12" w:fontKey="{0435A391-88A5-3C4E-9D82-80D5B9EA742A}"/>
  </w:font>
  <w:font w:name="Cambria">
    <w:panose1 w:val="02040503050406030204"/>
    <w:charset w:val="00"/>
    <w:family w:val="roman"/>
    <w:pitch w:val="variable"/>
    <w:sig w:usb0="E00006FF" w:usb1="420024FF" w:usb2="02000000" w:usb3="00000000" w:csb0="0000019F" w:csb1="00000000"/>
    <w:embedRegular r:id="rId13" w:fontKey="{AC1FA2E3-D0AD-7343-8F09-E891280623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82329" w14:textId="77777777" w:rsidR="00A272FC" w:rsidRDefault="00A272F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8232B" w14:textId="77777777" w:rsidR="00A272FC" w:rsidRDefault="00A272F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9852A" w14:textId="77777777" w:rsidR="00C712EC" w:rsidRDefault="00C712EC">
      <w:pPr>
        <w:spacing w:before="0" w:line="240" w:lineRule="auto"/>
      </w:pPr>
      <w:r>
        <w:separator/>
      </w:r>
    </w:p>
  </w:footnote>
  <w:footnote w:type="continuationSeparator" w:id="0">
    <w:p w14:paraId="63454744" w14:textId="77777777" w:rsidR="00C712EC" w:rsidRDefault="00C712E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82328" w14:textId="77777777" w:rsidR="00A272FC" w:rsidRDefault="00A272FC">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8232A" w14:textId="77777777" w:rsidR="00A272FC" w:rsidRDefault="00A272FC">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2FC"/>
    <w:rsid w:val="0059637F"/>
    <w:rsid w:val="00A272FC"/>
    <w:rsid w:val="00C125EA"/>
    <w:rsid w:val="00C712EC"/>
  </w:rsids>
  <m:mathPr>
    <m:mathFont m:val="Cambria Math"/>
    <m:brkBin m:val="before"/>
    <m:brkBinSub m:val="--"/>
    <m:smallFrac m:val="0"/>
    <m:dispDef/>
    <m:lMargin m:val="0"/>
    <m:rMargin m:val="0"/>
    <m:defJc m:val="centerGroup"/>
    <m:wrapIndent m:val="1440"/>
    <m:intLim m:val="subSup"/>
    <m:naryLim m:val="undOvr"/>
  </m:mathPr>
  <w:themeFontLang w:val="en-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22FF"/>
  <w15:docId w15:val="{50AE1703-2066-DC4B-8F39-EFC3C658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334</Words>
  <Characters>1908</Characters>
  <Application>Microsoft Office Word</Application>
  <DocSecurity>0</DocSecurity>
  <Lines>15</Lines>
  <Paragraphs>4</Paragraphs>
  <ScaleCrop>false</ScaleCrop>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2</cp:revision>
  <dcterms:created xsi:type="dcterms:W3CDTF">2025-05-22T16:52:00Z</dcterms:created>
  <dcterms:modified xsi:type="dcterms:W3CDTF">2025-05-22T16:52:00Z</dcterms:modified>
</cp:coreProperties>
</file>