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9D07" w14:textId="77777777" w:rsidR="00C96B62" w:rsidRDefault="00C96B62" w:rsidP="00C96B62">
      <w:r>
        <w:rPr>
          <w:rFonts w:hint="eastAsia"/>
        </w:rPr>
        <w:t>问题二：</w:t>
      </w:r>
    </w:p>
    <w:p w14:paraId="5EC4FB98" w14:textId="7258DC12" w:rsidR="00C96B62" w:rsidRDefault="00B26127" w:rsidP="00C96B62">
      <w:r>
        <w:rPr>
          <w:rFonts w:hint="eastAsia"/>
        </w:rPr>
        <w:t>声</w:t>
      </w:r>
      <w:bookmarkStart w:id="0" w:name="_GoBack"/>
      <w:bookmarkEnd w:id="0"/>
      <w:r w:rsidR="00C96B62">
        <w:rPr>
          <w:rFonts w:hint="eastAsia"/>
        </w:rPr>
        <w:t>环境：</w:t>
      </w:r>
    </w:p>
    <w:p w14:paraId="32E5C9BE" w14:textId="777AAE3A" w:rsidR="00C96B62" w:rsidRDefault="00C96B62" w:rsidP="00C96B62">
      <w:r>
        <w:rPr>
          <w:rFonts w:hint="eastAsia"/>
        </w:rPr>
        <w:t>本题以</w:t>
      </w:r>
      <w:r>
        <w:t xml:space="preserve"> </w:t>
      </w:r>
      <w:r>
        <w:rPr>
          <w:rFonts w:hint="eastAsia"/>
        </w:rPr>
        <w:t>北京市近十</w:t>
      </w:r>
      <w:r>
        <w:t>年</w:t>
      </w:r>
      <w:r>
        <w:rPr>
          <w:rFonts w:hint="eastAsia"/>
        </w:rPr>
        <w:t>声</w:t>
      </w:r>
      <w:r>
        <w:t xml:space="preserve">环境质量状况(见表 1)为例，参照 </w:t>
      </w:r>
      <w:r>
        <w:rPr>
          <w:rFonts w:hint="eastAsia"/>
        </w:rPr>
        <w:t>《城市区域环境噪声标准》（GB</w:t>
      </w:r>
      <w:r>
        <w:t>3096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  <w:r>
        <w:t xml:space="preserve">(见表 2)，通过主成分分析法(基于 </w:t>
      </w:r>
      <w:proofErr w:type="spellStart"/>
      <w:r>
        <w:t>Spss</w:t>
      </w:r>
      <w:proofErr w:type="spellEnd"/>
      <w:r>
        <w:t xml:space="preserve"> 24)对</w:t>
      </w:r>
      <w:r>
        <w:rPr>
          <w:rFonts w:hint="eastAsia"/>
        </w:rPr>
        <w:t>声</w:t>
      </w:r>
      <w:r>
        <w:t>环境质量进行综合评价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62" w14:paraId="3EB9A4B2" w14:textId="77777777" w:rsidTr="00C96B62">
        <w:trPr>
          <w:trHeight w:val="306"/>
        </w:trPr>
        <w:tc>
          <w:tcPr>
            <w:tcW w:w="8296" w:type="dxa"/>
          </w:tcPr>
          <w:p w14:paraId="77CE41A7" w14:textId="6C83CC6B" w:rsidR="00C96B62" w:rsidRDefault="00C96B62" w:rsidP="009320AA">
            <w:r w:rsidRPr="008E0DDA">
              <w:rPr>
                <w:rFonts w:hint="eastAsia"/>
              </w:rPr>
              <w:t>北京</w:t>
            </w:r>
            <w:r>
              <w:rPr>
                <w:rFonts w:hint="eastAsia"/>
              </w:rPr>
              <w:t>市</w:t>
            </w:r>
            <w:r w:rsidRPr="008E0DDA">
              <w:rPr>
                <w:rFonts w:hint="eastAsia"/>
              </w:rPr>
              <w:t>十年</w:t>
            </w:r>
            <w:r>
              <w:rPr>
                <w:rFonts w:hint="eastAsia"/>
              </w:rPr>
              <w:t>声音</w:t>
            </w:r>
            <w:r w:rsidRPr="008E0DDA">
              <w:rPr>
                <w:rFonts w:hint="eastAsia"/>
              </w:rPr>
              <w:t>质量</w:t>
            </w:r>
            <w:r w:rsidRPr="008E0DDA">
              <w:tab/>
            </w:r>
            <w:r>
              <w:t xml:space="preserve">          </w:t>
            </w:r>
            <w:r>
              <w:rPr>
                <w:rFonts w:hint="eastAsia"/>
              </w:rPr>
              <w:t>交通噪声</w:t>
            </w:r>
            <w:r w:rsidRPr="008E0DDA">
              <w:tab/>
            </w:r>
            <w:r>
              <w:t xml:space="preserve">            </w:t>
            </w:r>
            <w:r>
              <w:rPr>
                <w:rFonts w:hint="eastAsia"/>
              </w:rPr>
              <w:t>城市区域噪声</w:t>
            </w:r>
          </w:p>
        </w:tc>
      </w:tr>
      <w:tr w:rsidR="00C96B62" w14:paraId="7EFF2680" w14:textId="77777777" w:rsidTr="009320AA">
        <w:tc>
          <w:tcPr>
            <w:tcW w:w="8296" w:type="dxa"/>
          </w:tcPr>
          <w:p w14:paraId="72F01268" w14:textId="4A583C02" w:rsidR="00C96B62" w:rsidRDefault="00C96B62" w:rsidP="009320AA">
            <w:r w:rsidRPr="008E0DDA">
              <w:t>2016</w:t>
            </w:r>
            <w:r w:rsidRPr="008E0DDA">
              <w:tab/>
            </w:r>
            <w:r>
              <w:t xml:space="preserve">    </w:t>
            </w:r>
            <w:r w:rsidR="00E85D5A">
              <w:t xml:space="preserve">                  </w:t>
            </w:r>
            <w:r>
              <w:t xml:space="preserve"> </w:t>
            </w:r>
            <w:r w:rsidR="00E85D5A" w:rsidRPr="00E85D5A">
              <w:t>69.3</w:t>
            </w:r>
            <w:r>
              <w:t xml:space="preserve">                </w:t>
            </w:r>
            <w:r w:rsidR="00E85D5A">
              <w:t xml:space="preserve">  </w:t>
            </w:r>
            <w:r w:rsidR="00E85D5A" w:rsidRPr="00E85D5A">
              <w:t>54.3</w:t>
            </w:r>
          </w:p>
        </w:tc>
      </w:tr>
      <w:tr w:rsidR="00C96B62" w14:paraId="29B9720A" w14:textId="77777777" w:rsidTr="009320AA">
        <w:tc>
          <w:tcPr>
            <w:tcW w:w="8296" w:type="dxa"/>
          </w:tcPr>
          <w:p w14:paraId="1D74ED1F" w14:textId="4AA93F36" w:rsidR="00C96B62" w:rsidRDefault="00C96B62" w:rsidP="009320AA">
            <w:r w:rsidRPr="008E0DDA">
              <w:t>2015</w:t>
            </w:r>
            <w:r w:rsidRPr="008E0DDA">
              <w:tab/>
            </w:r>
            <w:r>
              <w:t xml:space="preserve">                  </w:t>
            </w:r>
            <w:r w:rsidR="00E85D5A">
              <w:t xml:space="preserve">     </w:t>
            </w:r>
            <w:r w:rsidR="00E85D5A" w:rsidRPr="00E85D5A">
              <w:t>69.3</w:t>
            </w:r>
            <w:r w:rsidR="00E85D5A">
              <w:t xml:space="preserve">                  </w:t>
            </w:r>
            <w:r w:rsidR="00E85D5A" w:rsidRPr="00E85D5A">
              <w:t>53.3</w:t>
            </w:r>
          </w:p>
        </w:tc>
      </w:tr>
      <w:tr w:rsidR="00C96B62" w14:paraId="47840AD5" w14:textId="77777777" w:rsidTr="009320AA">
        <w:tc>
          <w:tcPr>
            <w:tcW w:w="8296" w:type="dxa"/>
          </w:tcPr>
          <w:p w14:paraId="4A58B0D0" w14:textId="49498EA9" w:rsidR="00C96B62" w:rsidRDefault="00C96B62" w:rsidP="009320AA">
            <w:r w:rsidRPr="008E0DDA">
              <w:t>2014</w:t>
            </w:r>
            <w:r w:rsidRPr="008E0DDA">
              <w:tab/>
            </w:r>
            <w:r>
              <w:t xml:space="preserve">               </w:t>
            </w:r>
            <w:r w:rsidR="00E85D5A">
              <w:t xml:space="preserve">        </w:t>
            </w:r>
            <w:r w:rsidR="00E85D5A" w:rsidRPr="00E85D5A">
              <w:t>69.1</w:t>
            </w:r>
            <w:r w:rsidR="00E85D5A">
              <w:t xml:space="preserve">                  </w:t>
            </w:r>
            <w:r w:rsidR="00E85D5A" w:rsidRPr="00E85D5A">
              <w:t>53.6</w:t>
            </w:r>
          </w:p>
        </w:tc>
      </w:tr>
      <w:tr w:rsidR="00C96B62" w14:paraId="3620927A" w14:textId="77777777" w:rsidTr="009320AA">
        <w:tc>
          <w:tcPr>
            <w:tcW w:w="8296" w:type="dxa"/>
          </w:tcPr>
          <w:p w14:paraId="2FA05D1B" w14:textId="5AD08098" w:rsidR="00C96B62" w:rsidRDefault="00C96B62" w:rsidP="009320AA">
            <w:r w:rsidRPr="008E0DDA">
              <w:t>2013</w:t>
            </w:r>
            <w:r w:rsidRPr="008E0DDA">
              <w:tab/>
            </w:r>
            <w:r>
              <w:t xml:space="preserve">                  </w:t>
            </w:r>
            <w:r w:rsidR="00E85D5A">
              <w:t xml:space="preserve">     </w:t>
            </w:r>
            <w:r w:rsidR="00E85D5A" w:rsidRPr="00E85D5A">
              <w:t>69.1</w:t>
            </w:r>
            <w:r w:rsidR="00E85D5A">
              <w:t xml:space="preserve">                  </w:t>
            </w:r>
            <w:r w:rsidR="00E85D5A" w:rsidRPr="00E85D5A">
              <w:t>53.8</w:t>
            </w:r>
          </w:p>
        </w:tc>
      </w:tr>
      <w:tr w:rsidR="00C96B62" w14:paraId="0ADCB453" w14:textId="77777777" w:rsidTr="009320AA">
        <w:tc>
          <w:tcPr>
            <w:tcW w:w="8296" w:type="dxa"/>
          </w:tcPr>
          <w:p w14:paraId="1AA0189B" w14:textId="5099CDD2" w:rsidR="00C96B62" w:rsidRDefault="00C96B62" w:rsidP="009320AA">
            <w:r w:rsidRPr="008E0DDA">
              <w:t>2012</w:t>
            </w:r>
            <w:r w:rsidRPr="008E0DDA">
              <w:tab/>
            </w:r>
            <w:r>
              <w:t xml:space="preserve">             </w:t>
            </w:r>
            <w:r w:rsidR="00E85D5A">
              <w:t xml:space="preserve">          </w:t>
            </w:r>
            <w:r w:rsidR="00E85D5A" w:rsidRPr="00E85D5A">
              <w:t>69.2</w:t>
            </w:r>
            <w:r w:rsidR="00E85D5A">
              <w:t xml:space="preserve">                  </w:t>
            </w:r>
            <w:r w:rsidR="00E85D5A" w:rsidRPr="00E85D5A">
              <w:t>54</w:t>
            </w:r>
          </w:p>
        </w:tc>
      </w:tr>
      <w:tr w:rsidR="00C96B62" w14:paraId="72CB5B7A" w14:textId="77777777" w:rsidTr="009320AA">
        <w:tc>
          <w:tcPr>
            <w:tcW w:w="8296" w:type="dxa"/>
          </w:tcPr>
          <w:p w14:paraId="4FFE889A" w14:textId="15178367" w:rsidR="00C96B62" w:rsidRDefault="00C96B62" w:rsidP="009320AA">
            <w:r w:rsidRPr="008E0DDA">
              <w:t>2011</w:t>
            </w:r>
            <w:r w:rsidRPr="008E0DDA">
              <w:tab/>
            </w:r>
            <w:r>
              <w:t xml:space="preserve">                </w:t>
            </w:r>
            <w:r w:rsidR="00E85D5A">
              <w:t xml:space="preserve">       </w:t>
            </w:r>
            <w:r w:rsidR="00E85D5A" w:rsidRPr="00E85D5A">
              <w:t>69.6</w:t>
            </w:r>
            <w:r w:rsidR="00E85D5A">
              <w:t xml:space="preserve">                  </w:t>
            </w:r>
            <w:r w:rsidR="00E85D5A" w:rsidRPr="00E85D5A">
              <w:t>53.7</w:t>
            </w:r>
          </w:p>
        </w:tc>
      </w:tr>
      <w:tr w:rsidR="00C96B62" w14:paraId="40AEBC88" w14:textId="77777777" w:rsidTr="009320AA">
        <w:tc>
          <w:tcPr>
            <w:tcW w:w="8296" w:type="dxa"/>
          </w:tcPr>
          <w:p w14:paraId="7E8147DC" w14:textId="7B0BEEFA" w:rsidR="00C96B62" w:rsidRDefault="00C96B62" w:rsidP="009320AA">
            <w:r w:rsidRPr="008E0DDA">
              <w:t>2010</w:t>
            </w:r>
            <w:r w:rsidRPr="008E0DDA">
              <w:tab/>
            </w:r>
            <w:r>
              <w:t xml:space="preserve">                </w:t>
            </w:r>
            <w:r w:rsidR="00E85D5A">
              <w:t xml:space="preserve">       </w:t>
            </w:r>
            <w:r w:rsidR="00E85D5A" w:rsidRPr="00E85D5A">
              <w:t>70</w:t>
            </w:r>
            <w:r w:rsidR="00E85D5A">
              <w:t xml:space="preserve">                    </w:t>
            </w:r>
            <w:r w:rsidR="00E85D5A" w:rsidRPr="00E85D5A">
              <w:t>54.2</w:t>
            </w:r>
          </w:p>
        </w:tc>
      </w:tr>
      <w:tr w:rsidR="00C96B62" w14:paraId="71C8DA7D" w14:textId="77777777" w:rsidTr="009320AA">
        <w:tc>
          <w:tcPr>
            <w:tcW w:w="8296" w:type="dxa"/>
          </w:tcPr>
          <w:p w14:paraId="0A837FC2" w14:textId="27B7DFA2" w:rsidR="00C96B62" w:rsidRDefault="00C96B62" w:rsidP="009320AA">
            <w:r w:rsidRPr="008E0DDA">
              <w:t>2009</w:t>
            </w:r>
            <w:r w:rsidRPr="008E0DDA">
              <w:tab/>
            </w:r>
            <w:r>
              <w:t xml:space="preserve">               </w:t>
            </w:r>
            <w:r w:rsidR="00E85D5A">
              <w:t xml:space="preserve">        </w:t>
            </w:r>
            <w:r w:rsidR="00E85D5A" w:rsidRPr="00E85D5A">
              <w:t>69.8</w:t>
            </w:r>
            <w:r w:rsidR="00E85D5A">
              <w:t xml:space="preserve">                  </w:t>
            </w:r>
            <w:r w:rsidR="00E85D5A" w:rsidRPr="00E85D5A">
              <w:t>54.1</w:t>
            </w:r>
          </w:p>
        </w:tc>
      </w:tr>
      <w:tr w:rsidR="00C96B62" w14:paraId="6F85C3A0" w14:textId="77777777" w:rsidTr="009320AA">
        <w:tc>
          <w:tcPr>
            <w:tcW w:w="8296" w:type="dxa"/>
          </w:tcPr>
          <w:p w14:paraId="4172E346" w14:textId="2F59B4E0" w:rsidR="00C96B62" w:rsidRDefault="00C96B62" w:rsidP="009320AA">
            <w:r w:rsidRPr="008E0DDA">
              <w:t>2008</w:t>
            </w:r>
            <w:r w:rsidRPr="008E0DDA">
              <w:tab/>
            </w:r>
            <w:r>
              <w:t xml:space="preserve">               </w:t>
            </w:r>
            <w:r w:rsidR="00E85D5A">
              <w:t xml:space="preserve">        </w:t>
            </w:r>
            <w:r w:rsidR="00E85D5A" w:rsidRPr="00E85D5A">
              <w:t>69.4</w:t>
            </w:r>
            <w:r w:rsidR="00E85D5A">
              <w:t xml:space="preserve">                  </w:t>
            </w:r>
            <w:r w:rsidR="00E85D5A" w:rsidRPr="00E85D5A">
              <w:t>53.6</w:t>
            </w:r>
          </w:p>
        </w:tc>
      </w:tr>
      <w:tr w:rsidR="00C96B62" w14:paraId="4298B593" w14:textId="77777777" w:rsidTr="009320AA">
        <w:tc>
          <w:tcPr>
            <w:tcW w:w="8296" w:type="dxa"/>
          </w:tcPr>
          <w:p w14:paraId="79AED119" w14:textId="55A34EA9" w:rsidR="00C96B62" w:rsidRDefault="00C96B62" w:rsidP="009320AA">
            <w:r w:rsidRPr="008E0DDA">
              <w:t>2007</w:t>
            </w:r>
            <w:r w:rsidRPr="008E0DDA">
              <w:tab/>
            </w:r>
            <w:r>
              <w:t xml:space="preserve">                  </w:t>
            </w:r>
            <w:r w:rsidR="00E85D5A">
              <w:t xml:space="preserve">     </w:t>
            </w:r>
            <w:r w:rsidR="00E85D5A" w:rsidRPr="00E85D5A">
              <w:t>69.9</w:t>
            </w:r>
            <w:r w:rsidR="00E85D5A">
              <w:t xml:space="preserve">                  </w:t>
            </w:r>
            <w:r w:rsidR="00E85D5A" w:rsidRPr="00E85D5A">
              <w:t>54.1</w:t>
            </w:r>
          </w:p>
        </w:tc>
      </w:tr>
    </w:tbl>
    <w:p w14:paraId="3911B80B" w14:textId="77777777" w:rsidR="00C96B62" w:rsidRDefault="00C96B62" w:rsidP="00C96B62"/>
    <w:p w14:paraId="73D78BF0" w14:textId="55E8DFE9" w:rsidR="00C96B62" w:rsidRDefault="00C96B62" w:rsidP="00C96B62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表1</w:t>
      </w:r>
      <w:r>
        <w:t xml:space="preserve">     </w:t>
      </w:r>
      <w:r w:rsidR="00AF72DB">
        <w:t xml:space="preserve">      </w:t>
      </w:r>
      <w:r>
        <w:t xml:space="preserve"> </w:t>
      </w:r>
      <w:r w:rsidR="00AF72DB">
        <w:rPr>
          <w:rFonts w:hint="eastAsia"/>
        </w:rPr>
        <w:t>北京近十</w:t>
      </w:r>
      <w:r>
        <w:t>年</w:t>
      </w:r>
      <w:r w:rsidR="00AF72DB">
        <w:rPr>
          <w:rFonts w:hint="eastAsia"/>
        </w:rPr>
        <w:t>声音</w:t>
      </w:r>
      <w:r>
        <w:t>环境质量状况</w: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62" w14:paraId="082ED153" w14:textId="77777777" w:rsidTr="009320AA">
        <w:tc>
          <w:tcPr>
            <w:tcW w:w="8296" w:type="dxa"/>
          </w:tcPr>
          <w:p w14:paraId="2F2060D0" w14:textId="7777777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声环境</w:t>
            </w: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C96B62" w14:paraId="1B25DB0D" w14:textId="77777777" w:rsidTr="009320AA">
        <w:tc>
          <w:tcPr>
            <w:tcW w:w="8296" w:type="dxa"/>
          </w:tcPr>
          <w:p w14:paraId="072114C1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 </w:t>
            </w:r>
            <w:r w:rsidRPr="00367A2D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≤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8.0                         </w:t>
            </w:r>
            <w:r w:rsidRPr="00367A2D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≤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C96B62" w14:paraId="44E891E6" w14:textId="77777777" w:rsidTr="009320AA">
        <w:tc>
          <w:tcPr>
            <w:tcW w:w="8296" w:type="dxa"/>
          </w:tcPr>
          <w:p w14:paraId="16513846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较好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68.1</w:t>
            </w: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~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70.0                      50.1~55.0</w:t>
            </w:r>
          </w:p>
        </w:tc>
      </w:tr>
      <w:tr w:rsidR="00C96B62" w14:paraId="7B94F5E8" w14:textId="77777777" w:rsidTr="009320AA">
        <w:tc>
          <w:tcPr>
            <w:tcW w:w="8296" w:type="dxa"/>
          </w:tcPr>
          <w:p w14:paraId="2931EE70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轻度污染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70.1~72.0                      55.1~60.0</w:t>
            </w:r>
          </w:p>
        </w:tc>
      </w:tr>
      <w:tr w:rsidR="00C96B62" w14:paraId="5DA66062" w14:textId="77777777" w:rsidTr="009320AA">
        <w:tc>
          <w:tcPr>
            <w:tcW w:w="8296" w:type="dxa"/>
          </w:tcPr>
          <w:p w14:paraId="1CAAC077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中度污染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72.0~74.0                      60.1~65.0</w:t>
            </w:r>
          </w:p>
        </w:tc>
      </w:tr>
      <w:tr w:rsidR="00C96B62" w14:paraId="0806F971" w14:textId="77777777" w:rsidTr="009320AA">
        <w:tc>
          <w:tcPr>
            <w:tcW w:w="8296" w:type="dxa"/>
          </w:tcPr>
          <w:p w14:paraId="52CC708F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重度污染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&gt;74.0                          &gt;65.0</w:t>
            </w:r>
          </w:p>
        </w:tc>
      </w:tr>
    </w:tbl>
    <w:p w14:paraId="0E9C0F36" w14:textId="5325BC10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</w:t>
      </w:r>
      <w:r w:rsidR="00AF72D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hint="eastAsia"/>
        </w:rPr>
        <w:t>《城市区域环境噪声标准》（GB</w:t>
      </w:r>
      <w:r>
        <w:t>3096</w:t>
      </w:r>
      <w:r>
        <w:rPr>
          <w:rFonts w:hint="eastAsia"/>
        </w:rPr>
        <w:t>-</w:t>
      </w:r>
      <w:r>
        <w:t>2008</w:t>
      </w:r>
      <w:r>
        <w:rPr>
          <w:rFonts w:hint="eastAsia"/>
        </w:rPr>
        <w:t>）</w:t>
      </w:r>
      <w:r>
        <w:t xml:space="preserve">                       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dB</w:t>
      </w:r>
    </w:p>
    <w:p w14:paraId="14005613" w14:textId="77777777" w:rsidR="00C96B62" w:rsidRDefault="00C96B62" w:rsidP="00C96B62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由于城市区域环境噪声标准是</w:t>
      </w:r>
      <w:proofErr w:type="gramStart"/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以范围</w:t>
      </w:r>
      <w:proofErr w:type="gramEnd"/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区间为参数进行判断的，为方便数据处理起见：</w:t>
      </w:r>
    </w:p>
    <w:p w14:paraId="6BF2C701" w14:textId="77777777" w:rsidR="00C96B62" w:rsidRDefault="00C96B62" w:rsidP="00C96B62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假设：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62" w14:paraId="57DD7307" w14:textId="77777777" w:rsidTr="009320AA">
        <w:tc>
          <w:tcPr>
            <w:tcW w:w="8296" w:type="dxa"/>
          </w:tcPr>
          <w:p w14:paraId="5BC962BA" w14:textId="7777777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>声环境</w:t>
            </w: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C96B62" w14:paraId="49991D2D" w14:textId="77777777" w:rsidTr="009320AA">
        <w:tc>
          <w:tcPr>
            <w:tcW w:w="8296" w:type="dxa"/>
          </w:tcPr>
          <w:p w14:paraId="6592BE3D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66.0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45.0</w:t>
            </w:r>
          </w:p>
        </w:tc>
      </w:tr>
      <w:tr w:rsidR="00C96B62" w14:paraId="4F57AC23" w14:textId="77777777" w:rsidTr="009320AA">
        <w:tc>
          <w:tcPr>
            <w:tcW w:w="8296" w:type="dxa"/>
          </w:tcPr>
          <w:p w14:paraId="12011A39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较好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68.0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50.0</w:t>
            </w:r>
          </w:p>
        </w:tc>
      </w:tr>
      <w:tr w:rsidR="00C96B62" w14:paraId="79F73EAD" w14:textId="77777777" w:rsidTr="009320AA">
        <w:tc>
          <w:tcPr>
            <w:tcW w:w="8296" w:type="dxa"/>
          </w:tcPr>
          <w:p w14:paraId="717393BA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轻度污染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70.0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55.0</w:t>
            </w:r>
          </w:p>
        </w:tc>
      </w:tr>
      <w:tr w:rsidR="00C96B62" w14:paraId="4E438017" w14:textId="77777777" w:rsidTr="009320AA">
        <w:tc>
          <w:tcPr>
            <w:tcW w:w="8296" w:type="dxa"/>
          </w:tcPr>
          <w:p w14:paraId="1D2C79A5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中度污染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72.0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60.0</w:t>
            </w:r>
          </w:p>
        </w:tc>
      </w:tr>
      <w:tr w:rsidR="00C96B62" w14:paraId="22269E97" w14:textId="77777777" w:rsidTr="009320AA">
        <w:tc>
          <w:tcPr>
            <w:tcW w:w="8296" w:type="dxa"/>
          </w:tcPr>
          <w:p w14:paraId="0E95C155" w14:textId="77777777" w:rsidR="00C96B62" w:rsidRDefault="00C96B62" w:rsidP="009320AA">
            <w:pP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重度污染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74.0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7046D3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>65.0</w:t>
            </w:r>
          </w:p>
        </w:tc>
      </w:tr>
    </w:tbl>
    <w:p w14:paraId="3E9ECFFC" w14:textId="77777777" w:rsidR="00C96B62" w:rsidRDefault="00C96B62" w:rsidP="00C96B62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</w:p>
    <w:p w14:paraId="6D9DDB2C" w14:textId="77777777" w:rsidR="00C96B62" w:rsidRPr="00DD4BC9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数据标准化处理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为了消除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个指标的量纲所带来的影响，对原始数据进行标准化处理，使处理</w:t>
      </w:r>
    </w:p>
    <w:p w14:paraId="5BEE2503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后的数据具有可比性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通过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可以快速地将数据进行标准化处理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5A0ED202" w14:textId="77777777" w:rsidR="00C96B62" w:rsidRPr="00DD4BC9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软件可以得到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个评价指标的相关系数矩阵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3)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以及每个变</w:t>
      </w:r>
    </w:p>
    <w:p w14:paraId="059B827A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量的提取度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4)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6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7"/>
      </w:tblGrid>
      <w:tr w:rsidR="00C96B62" w:rsidRPr="00DD4BC9" w14:paraId="75835599" w14:textId="77777777" w:rsidTr="009320AA">
        <w:trPr>
          <w:cantSplit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W w:w="469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0"/>
              <w:gridCol w:w="1407"/>
              <w:gridCol w:w="1035"/>
              <w:gridCol w:w="1407"/>
            </w:tblGrid>
            <w:tr w:rsidR="00AF72DB" w14:paraId="0CEF84A0" w14:textId="77777777" w:rsidTr="009320AA">
              <w:trPr>
                <w:cantSplit/>
              </w:trPr>
              <w:tc>
                <w:tcPr>
                  <w:tcW w:w="469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7CC782BD" w14:textId="77777777" w:rsidR="00AF72DB" w:rsidRDefault="00AF72DB" w:rsidP="00AF72DB">
                  <w:pPr>
                    <w:spacing w:line="320" w:lineRule="atLeast"/>
                    <w:ind w:left="60" w:right="60"/>
                    <w:jc w:val="center"/>
                    <w:rPr>
                      <w:color w:val="010205"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color w:val="010205"/>
                      <w:sz w:val="22"/>
                    </w:rPr>
                    <w:t>相关性矩阵</w:t>
                  </w:r>
                </w:p>
              </w:tc>
            </w:tr>
            <w:tr w:rsidR="00AF72DB" w14:paraId="7DE2FFBC" w14:textId="77777777" w:rsidTr="009320AA">
              <w:trPr>
                <w:cantSplit/>
              </w:trPr>
              <w:tc>
                <w:tcPr>
                  <w:tcW w:w="2256" w:type="dxa"/>
                  <w:gridSpan w:val="2"/>
                  <w:tcBorders>
                    <w:top w:val="nil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5BBF9A42" w14:textId="77777777" w:rsidR="00AF72DB" w:rsidRDefault="00AF72DB" w:rsidP="00AF72DB">
                  <w:pPr>
                    <w:rPr>
                      <w:rFonts w:asci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608DAF4A" w14:textId="77777777" w:rsidR="00AF72DB" w:rsidRDefault="00AF72DB" w:rsidP="00AF72DB">
                  <w:pPr>
                    <w:spacing w:line="320" w:lineRule="atLeast"/>
                    <w:ind w:left="60" w:right="60"/>
                    <w:jc w:val="center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交通噪声</w:t>
                  </w:r>
                </w:p>
              </w:tc>
              <w:tc>
                <w:tcPr>
                  <w:tcW w:w="1406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68A9781" w14:textId="77777777" w:rsidR="00AF72DB" w:rsidRDefault="00AF72DB" w:rsidP="00AF72DB">
                  <w:pPr>
                    <w:spacing w:line="320" w:lineRule="atLeast"/>
                    <w:ind w:left="60" w:right="60"/>
                    <w:jc w:val="center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城市区域噪声</w:t>
                  </w:r>
                </w:p>
              </w:tc>
            </w:tr>
            <w:tr w:rsidR="00AF72DB" w14:paraId="562FAE4A" w14:textId="77777777" w:rsidTr="009320AA">
              <w:trPr>
                <w:cantSplit/>
              </w:trPr>
              <w:tc>
                <w:tcPr>
                  <w:tcW w:w="850" w:type="dxa"/>
                  <w:vMerge w:val="restart"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879C144" w14:textId="77777777" w:rsidR="00AF72DB" w:rsidRDefault="00AF72DB" w:rsidP="00AF72DB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相关性</w:t>
                  </w:r>
                </w:p>
              </w:tc>
              <w:tc>
                <w:tcPr>
                  <w:tcW w:w="1406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41F80BD2" w14:textId="77777777" w:rsidR="00AF72DB" w:rsidRDefault="00AF72DB" w:rsidP="00AF72DB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交通噪声</w:t>
                  </w:r>
                </w:p>
              </w:tc>
              <w:tc>
                <w:tcPr>
                  <w:tcW w:w="1035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3EA4104" w14:textId="77777777" w:rsidR="00AF72DB" w:rsidRDefault="00AF72DB" w:rsidP="00AF72DB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1.000</w:t>
                  </w:r>
                </w:p>
              </w:tc>
              <w:tc>
                <w:tcPr>
                  <w:tcW w:w="1406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CCD2C77" w14:textId="77777777" w:rsidR="00AF72DB" w:rsidRDefault="00AF72DB" w:rsidP="00AF72DB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.990</w:t>
                  </w:r>
                </w:p>
              </w:tc>
            </w:tr>
            <w:tr w:rsidR="00AF72DB" w14:paraId="2A87C9A6" w14:textId="77777777" w:rsidTr="009320AA">
              <w:trPr>
                <w:cantSplit/>
              </w:trPr>
              <w:tc>
                <w:tcPr>
                  <w:tcW w:w="850" w:type="dxa"/>
                  <w:vMerge/>
                  <w:tcBorders>
                    <w:top w:val="single" w:sz="8" w:space="0" w:color="152935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7E3E3DA5" w14:textId="77777777" w:rsidR="00AF72DB" w:rsidRDefault="00AF72DB" w:rsidP="00AF72DB">
                  <w:pPr>
                    <w:rPr>
                      <w:color w:val="010205"/>
                      <w:sz w:val="18"/>
                      <w:szCs w:val="18"/>
                    </w:rPr>
                  </w:pPr>
                </w:p>
              </w:tc>
              <w:tc>
                <w:tcPr>
                  <w:tcW w:w="1406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34CFF14E" w14:textId="77777777" w:rsidR="00AF72DB" w:rsidRDefault="00AF72DB" w:rsidP="00AF72DB">
                  <w:pPr>
                    <w:spacing w:line="320" w:lineRule="atLeast"/>
                    <w:ind w:left="60" w:right="60"/>
                    <w:rPr>
                      <w:color w:val="264A6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64A60"/>
                      <w:sz w:val="18"/>
                      <w:szCs w:val="18"/>
                    </w:rPr>
                    <w:t>城市区域噪声</w:t>
                  </w:r>
                </w:p>
              </w:tc>
              <w:tc>
                <w:tcPr>
                  <w:tcW w:w="1035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28691BAC" w14:textId="77777777" w:rsidR="00AF72DB" w:rsidRDefault="00AF72DB" w:rsidP="00AF72DB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.990</w:t>
                  </w:r>
                </w:p>
              </w:tc>
              <w:tc>
                <w:tcPr>
                  <w:tcW w:w="1406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63576342" w14:textId="77777777" w:rsidR="00AF72DB" w:rsidRDefault="00AF72DB" w:rsidP="00AF72DB">
                  <w:pPr>
                    <w:spacing w:line="320" w:lineRule="atLeast"/>
                    <w:ind w:left="60" w:right="60"/>
                    <w:jc w:val="right"/>
                    <w:rPr>
                      <w:color w:val="010205"/>
                      <w:sz w:val="18"/>
                      <w:szCs w:val="18"/>
                    </w:rPr>
                  </w:pPr>
                  <w:r>
                    <w:rPr>
                      <w:color w:val="010205"/>
                      <w:sz w:val="18"/>
                      <w:szCs w:val="18"/>
                    </w:rPr>
                    <w:t>1.000</w:t>
                  </w:r>
                </w:p>
              </w:tc>
            </w:tr>
          </w:tbl>
          <w:p w14:paraId="46779B08" w14:textId="77777777" w:rsidR="00C96B62" w:rsidRPr="00DD4BC9" w:rsidRDefault="00C96B62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</w:tbl>
    <w:p w14:paraId="4A77CAAA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相关系数矩阵</w:t>
      </w:r>
    </w:p>
    <w:tbl>
      <w:tblPr>
        <w:tblW w:w="3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1043"/>
        <w:gridCol w:w="467"/>
        <w:gridCol w:w="576"/>
      </w:tblGrid>
      <w:tr w:rsidR="00C96B62" w:rsidRPr="00DD4BC9" w14:paraId="45668DB4" w14:textId="77777777" w:rsidTr="00AF72DB">
        <w:trPr>
          <w:gridAfter w:val="1"/>
          <w:wAfter w:w="576" w:type="dxa"/>
          <w:cantSplit/>
        </w:trPr>
        <w:tc>
          <w:tcPr>
            <w:tcW w:w="2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A6ADCD" w14:textId="77777777" w:rsidR="00C96B62" w:rsidRPr="00975393" w:rsidRDefault="00C96B62" w:rsidP="009320A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AF72DB" w:rsidRPr="00AF72DB" w14:paraId="28A10017" w14:textId="77777777" w:rsidTr="00AF72DB">
        <w:trPr>
          <w:cantSplit/>
        </w:trPr>
        <w:tc>
          <w:tcPr>
            <w:tcW w:w="141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18175D" w14:textId="77777777" w:rsidR="00AF72DB" w:rsidRPr="00AF72DB" w:rsidRDefault="00AF72DB" w:rsidP="00AF72D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44FBC9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初始</w:t>
            </w:r>
          </w:p>
        </w:tc>
        <w:tc>
          <w:tcPr>
            <w:tcW w:w="104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7C4648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提取</w:t>
            </w:r>
          </w:p>
        </w:tc>
      </w:tr>
      <w:tr w:rsidR="00AF72DB" w:rsidRPr="00AF72DB" w14:paraId="114887B2" w14:textId="77777777" w:rsidTr="00AF72DB">
        <w:trPr>
          <w:cantSplit/>
        </w:trPr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D3438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交通噪声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91539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4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4FED1F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</w:tr>
      <w:tr w:rsidR="00AF72DB" w:rsidRPr="00AF72DB" w14:paraId="4672B41D" w14:textId="77777777" w:rsidTr="00AF72DB">
        <w:trPr>
          <w:cantSplit/>
        </w:trPr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8A6B71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城市区域噪声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48953C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4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691E7B4" w14:textId="77777777" w:rsidR="00AF72DB" w:rsidRPr="00AF72DB" w:rsidRDefault="00AF72DB" w:rsidP="00AF7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F72DB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.995</w:t>
            </w:r>
          </w:p>
        </w:tc>
      </w:tr>
    </w:tbl>
    <w:p w14:paraId="082559BC" w14:textId="77777777" w:rsidR="00AF72DB" w:rsidRDefault="00AF72DB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06248F3" w14:textId="3974A091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指标的提取度</w:t>
      </w:r>
    </w:p>
    <w:p w14:paraId="659560CD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B6B9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由表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 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交通噪声与城市区域噪声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之间具有较强的相关性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可知，这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个变量的共性方差，都大于或接近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.9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proofErr w:type="gram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故表示</w:t>
      </w:r>
      <w:proofErr w:type="gram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提取的公共因子能够较好地反映原始变量的主要信息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2EAF801A" w14:textId="77777777" w:rsidR="00C96B62" w:rsidRPr="00D520A6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计算特征值和主成分贡献率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通过协方差矩阵，可以求出每一个主成分所对应的特征值、解释方</w:t>
      </w:r>
    </w:p>
    <w:p w14:paraId="1DD220F1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差以及累积方差贡献率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7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28"/>
        <w:gridCol w:w="1213"/>
        <w:gridCol w:w="1029"/>
        <w:gridCol w:w="1029"/>
        <w:gridCol w:w="1213"/>
        <w:gridCol w:w="1029"/>
      </w:tblGrid>
      <w:tr w:rsidR="00AF72DB" w:rsidRPr="00AF72DB" w14:paraId="218167F3" w14:textId="77777777" w:rsidTr="009320AA">
        <w:trPr>
          <w:cantSplit/>
        </w:trPr>
        <w:tc>
          <w:tcPr>
            <w:tcW w:w="7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AE433" w14:textId="18ACC770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AF72DB" w:rsidRPr="00AF72DB" w14:paraId="4610B9BB" w14:textId="77777777" w:rsidTr="009320AA"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7D8CA5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成分</w:t>
            </w:r>
          </w:p>
        </w:tc>
        <w:tc>
          <w:tcPr>
            <w:tcW w:w="3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899F0F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初始特征值</w:t>
            </w:r>
          </w:p>
        </w:tc>
        <w:tc>
          <w:tcPr>
            <w:tcW w:w="3268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A7EBDF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提取载荷平方和</w:t>
            </w:r>
          </w:p>
        </w:tc>
      </w:tr>
      <w:tr w:rsidR="00AF72DB" w:rsidRPr="00AF72DB" w14:paraId="013261F0" w14:textId="77777777" w:rsidTr="009320AA"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B20E2F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D6CCFB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总计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82A3F5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方差百分比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D8C1B2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累积</w:t>
            </w: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%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8BC5BF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总计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2E026E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方差百分比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203232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累积</w:t>
            </w: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%</w:t>
            </w:r>
          </w:p>
        </w:tc>
      </w:tr>
      <w:tr w:rsidR="00AF72DB" w:rsidRPr="00AF72DB" w14:paraId="089F1900" w14:textId="77777777" w:rsidTr="009320AA">
        <w:trPr>
          <w:cantSplit/>
        </w:trPr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E3E964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D5375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1.990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F78256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99.521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4FD4C4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99.521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A22D89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1.990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B9A6F0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99.521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463655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99.521</w:t>
            </w:r>
          </w:p>
        </w:tc>
      </w:tr>
      <w:tr w:rsidR="00AF72DB" w:rsidRPr="00AF72DB" w14:paraId="145A0B19" w14:textId="77777777" w:rsidTr="009320AA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8EB85D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43BDCC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.010</w:t>
            </w: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D5182C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.479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70D1A63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100.000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CBA2FF8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DCEF510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9C5AF5" w14:textId="77777777" w:rsidR="00AF72DB" w:rsidRPr="00AF72DB" w:rsidRDefault="00AF72DB" w:rsidP="00AF72D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14:paraId="6BD8E39A" w14:textId="77777777" w:rsidR="00AF72DB" w:rsidRDefault="00AF72DB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5C019C7" w14:textId="2E64CB52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特征值及主成分贡献率</w:t>
      </w:r>
    </w:p>
    <w:p w14:paraId="35A9A183" w14:textId="22422B1B" w:rsidR="00C96B62" w:rsidRPr="00D520A6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从上表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可以看出，第一主成分的方差贡献率已达到</w:t>
      </w:r>
      <w:r w:rsidR="00AF72DB">
        <w:rPr>
          <w:rFonts w:ascii="Arial" w:hAnsi="Arial" w:cs="Arial"/>
          <w:color w:val="333333"/>
          <w:sz w:val="18"/>
          <w:szCs w:val="18"/>
          <w:shd w:val="clear" w:color="auto" w:fill="FFFFFF"/>
        </w:rPr>
        <w:t>99.521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%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，说明第一主成分已可以代表大多原</w:t>
      </w:r>
    </w:p>
    <w:p w14:paraId="47A5FD99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始数据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的信息，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因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此，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个主成分能够反映原始数据提供的绝大部分信息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利用它，对环境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质量进行综合评价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45FEBCB6" w14:textId="77777777" w:rsidR="00C96B62" w:rsidRPr="00D520A6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计算主成分表达式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软件先求出主成分载荷矩阵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，然后将主成分载荷矩阵中的数</w:t>
      </w:r>
    </w:p>
    <w:p w14:paraId="589A5BB2" w14:textId="77777777" w:rsidR="00C96B62" w:rsidRPr="00D520A6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据除以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主成分相对应的特征值，再开平方根便可得到两个主成分中每个指标所对应的系数，如表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</w:t>
      </w:r>
    </w:p>
    <w:p w14:paraId="34BCA3BE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62" w14:paraId="60C7C362" w14:textId="77777777" w:rsidTr="009320AA">
        <w:tc>
          <w:tcPr>
            <w:tcW w:w="8296" w:type="dxa"/>
          </w:tcPr>
          <w:p w14:paraId="43E26EF7" w14:textId="7777777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主成分</w:t>
            </w:r>
            <w:r w:rsidRPr="00F742E8">
              <w:tab/>
            </w:r>
            <w:r>
              <w:t xml:space="preserve">                     </w:t>
            </w:r>
            <w:r>
              <w:rPr>
                <w:rFonts w:hint="eastAsia"/>
              </w:rPr>
              <w:t>交通噪声</w:t>
            </w:r>
            <w:r w:rsidRPr="00F742E8">
              <w:tab/>
            </w:r>
            <w:r>
              <w:t xml:space="preserve">            </w:t>
            </w:r>
            <w:r>
              <w:rPr>
                <w:rFonts w:hint="eastAsia"/>
              </w:rPr>
              <w:t>城市区域噪声</w:t>
            </w:r>
          </w:p>
        </w:tc>
      </w:tr>
      <w:tr w:rsidR="00C96B62" w14:paraId="02711C21" w14:textId="77777777" w:rsidTr="009320AA">
        <w:tc>
          <w:tcPr>
            <w:tcW w:w="8296" w:type="dxa"/>
          </w:tcPr>
          <w:p w14:paraId="6A9F75A5" w14:textId="460437A1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1                           </w:t>
            </w:r>
            <w:bookmarkStart w:id="1" w:name="_Hlk515383369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AF72DB"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0.707182285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bookmarkEnd w:id="1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AF72DB" w:rsidRPr="00AF72D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0.707182285</w:t>
            </w:r>
          </w:p>
        </w:tc>
      </w:tr>
    </w:tbl>
    <w:p w14:paraId="4850C1A7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D220F31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主成分的特征向量</w:t>
      </w:r>
    </w:p>
    <w:p w14:paraId="7EADAE61" w14:textId="77777777" w:rsidR="00C96B62" w:rsidRPr="004C7810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可得，这两个主成分与各个变量的线性组合关系为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</w:p>
    <w:p w14:paraId="6807A86F" w14:textId="4F0D85FA" w:rsidR="00C96B62" w:rsidRDefault="00C96B62" w:rsidP="00C96B62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Z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=</w:t>
      </w:r>
      <w:r w:rsidR="00AF72DB" w:rsidRPr="00AF72D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0.707182285 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交通噪声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+</w:t>
      </w:r>
      <w:r w:rsidR="00AF72DB" w:rsidRPr="00AF72D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0.707182285 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Z</w:t>
      </w:r>
      <w:r w:rsidRPr="000F4ACF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城市区域噪声</w:t>
      </w:r>
    </w:p>
    <w:p w14:paraId="08D5AB6E" w14:textId="77777777" w:rsidR="00C96B62" w:rsidRDefault="00C96B62" w:rsidP="00C96B62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从主成分的特征向量构成来看，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交通噪声和城市区域噪声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的绝对值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一样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大，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都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质量起主导作用，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交通噪声与城市区域噪声都是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主要污染因子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;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这两个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主成分代表了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五个城市声音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的污染机制，为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交通噪声污染和城市区域噪声污染。</w:t>
      </w:r>
    </w:p>
    <w:p w14:paraId="081E4D2B" w14:textId="77777777" w:rsidR="00C96B62" w:rsidRDefault="00C96B62" w:rsidP="00C96B62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利用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把数据无</w:t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量纲化如下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B62" w14:paraId="07F31AF1" w14:textId="77777777" w:rsidTr="009320AA">
        <w:tc>
          <w:tcPr>
            <w:tcW w:w="2765" w:type="dxa"/>
          </w:tcPr>
          <w:p w14:paraId="0D831290" w14:textId="3B7D892E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年份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及声音质量级别</w:t>
            </w:r>
          </w:p>
        </w:tc>
        <w:tc>
          <w:tcPr>
            <w:tcW w:w="2765" w:type="dxa"/>
          </w:tcPr>
          <w:p w14:paraId="786BCAAB" w14:textId="7777777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交通噪声</w:t>
            </w:r>
          </w:p>
        </w:tc>
        <w:tc>
          <w:tcPr>
            <w:tcW w:w="2766" w:type="dxa"/>
          </w:tcPr>
          <w:p w14:paraId="5A4AF057" w14:textId="7777777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城市区域噪声</w:t>
            </w:r>
          </w:p>
        </w:tc>
      </w:tr>
      <w:tr w:rsidR="00C96B62" w14:paraId="58AE2DAB" w14:textId="77777777" w:rsidTr="009320AA">
        <w:tc>
          <w:tcPr>
            <w:tcW w:w="2765" w:type="dxa"/>
          </w:tcPr>
          <w:p w14:paraId="145D4128" w14:textId="7FC4D953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016</w:t>
            </w:r>
          </w:p>
        </w:tc>
        <w:tc>
          <w:tcPr>
            <w:tcW w:w="2765" w:type="dxa"/>
          </w:tcPr>
          <w:p w14:paraId="58995872" w14:textId="00713982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-.20030</w:t>
            </w:r>
          </w:p>
        </w:tc>
        <w:tc>
          <w:tcPr>
            <w:tcW w:w="2766" w:type="dxa"/>
          </w:tcPr>
          <w:p w14:paraId="0DE3011B" w14:textId="56308E07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.01249</w:t>
            </w:r>
          </w:p>
        </w:tc>
      </w:tr>
      <w:tr w:rsidR="00C96B62" w14:paraId="1B3DF2E8" w14:textId="77777777" w:rsidTr="009320AA">
        <w:tc>
          <w:tcPr>
            <w:tcW w:w="2765" w:type="dxa"/>
          </w:tcPr>
          <w:p w14:paraId="2D1AD030" w14:textId="6C0F5DCD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015</w:t>
            </w:r>
          </w:p>
        </w:tc>
        <w:tc>
          <w:tcPr>
            <w:tcW w:w="2765" w:type="dxa"/>
          </w:tcPr>
          <w:p w14:paraId="78B19DD2" w14:textId="7CA9F6F8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-.20030</w:t>
            </w:r>
          </w:p>
        </w:tc>
        <w:tc>
          <w:tcPr>
            <w:tcW w:w="2766" w:type="dxa"/>
          </w:tcPr>
          <w:p w14:paraId="51008011" w14:textId="2F9FA154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-.22174</w:t>
            </w:r>
          </w:p>
        </w:tc>
      </w:tr>
      <w:tr w:rsidR="00C96B62" w14:paraId="5BF9676E" w14:textId="77777777" w:rsidTr="009320AA">
        <w:tc>
          <w:tcPr>
            <w:tcW w:w="2765" w:type="dxa"/>
          </w:tcPr>
          <w:p w14:paraId="329C62E2" w14:textId="4FDCA68C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014</w:t>
            </w:r>
          </w:p>
        </w:tc>
        <w:tc>
          <w:tcPr>
            <w:tcW w:w="2765" w:type="dxa"/>
          </w:tcPr>
          <w:p w14:paraId="348A3F36" w14:textId="0DBEDBD3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-.31585</w:t>
            </w:r>
          </w:p>
        </w:tc>
        <w:tc>
          <w:tcPr>
            <w:tcW w:w="2766" w:type="dxa"/>
          </w:tcPr>
          <w:p w14:paraId="36A7BC8E" w14:textId="0CE42953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-.15147</w:t>
            </w:r>
          </w:p>
        </w:tc>
      </w:tr>
      <w:tr w:rsidR="00C96B62" w14:paraId="1BDA322C" w14:textId="77777777" w:rsidTr="009320AA">
        <w:tc>
          <w:tcPr>
            <w:tcW w:w="2765" w:type="dxa"/>
          </w:tcPr>
          <w:p w14:paraId="0A01CA9F" w14:textId="4AB4A3E8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013</w:t>
            </w:r>
          </w:p>
        </w:tc>
        <w:tc>
          <w:tcPr>
            <w:tcW w:w="2765" w:type="dxa"/>
          </w:tcPr>
          <w:p w14:paraId="01C6D935" w14:textId="2FB36954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-.31585</w:t>
            </w:r>
          </w:p>
        </w:tc>
        <w:tc>
          <w:tcPr>
            <w:tcW w:w="2766" w:type="dxa"/>
          </w:tcPr>
          <w:p w14:paraId="44877682" w14:textId="6279C881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-.10462</w:t>
            </w:r>
          </w:p>
        </w:tc>
      </w:tr>
      <w:tr w:rsidR="00C96B62" w14:paraId="4F9DEC66" w14:textId="77777777" w:rsidTr="009320AA">
        <w:tc>
          <w:tcPr>
            <w:tcW w:w="2765" w:type="dxa"/>
          </w:tcPr>
          <w:p w14:paraId="1CC37D68" w14:textId="7C960ECB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012</w:t>
            </w:r>
          </w:p>
        </w:tc>
        <w:tc>
          <w:tcPr>
            <w:tcW w:w="2765" w:type="dxa"/>
          </w:tcPr>
          <w:p w14:paraId="12AEB3D5" w14:textId="2942C9FD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-.25808</w:t>
            </w:r>
          </w:p>
        </w:tc>
        <w:tc>
          <w:tcPr>
            <w:tcW w:w="2766" w:type="dxa"/>
          </w:tcPr>
          <w:p w14:paraId="5335BCEF" w14:textId="4B1DE37C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-.05778</w:t>
            </w:r>
          </w:p>
        </w:tc>
      </w:tr>
      <w:tr w:rsidR="00C96B62" w14:paraId="3CB5D3EF" w14:textId="77777777" w:rsidTr="009320AA">
        <w:tc>
          <w:tcPr>
            <w:tcW w:w="2765" w:type="dxa"/>
          </w:tcPr>
          <w:p w14:paraId="7882DB25" w14:textId="4B65A9D7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011</w:t>
            </w:r>
          </w:p>
        </w:tc>
        <w:tc>
          <w:tcPr>
            <w:tcW w:w="2765" w:type="dxa"/>
          </w:tcPr>
          <w:p w14:paraId="4F1E0F54" w14:textId="471859C7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-.02696</w:t>
            </w:r>
          </w:p>
        </w:tc>
        <w:tc>
          <w:tcPr>
            <w:tcW w:w="2766" w:type="dxa"/>
          </w:tcPr>
          <w:p w14:paraId="4F3EF124" w14:textId="104CFEE4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-.12805</w:t>
            </w:r>
          </w:p>
        </w:tc>
      </w:tr>
      <w:tr w:rsidR="00C96B62" w14:paraId="15E55B0A" w14:textId="77777777" w:rsidTr="009320AA">
        <w:tc>
          <w:tcPr>
            <w:tcW w:w="2765" w:type="dxa"/>
          </w:tcPr>
          <w:p w14:paraId="26905A35" w14:textId="7C0F0A50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010</w:t>
            </w:r>
          </w:p>
        </w:tc>
        <w:tc>
          <w:tcPr>
            <w:tcW w:w="2765" w:type="dxa"/>
          </w:tcPr>
          <w:p w14:paraId="0AE169B1" w14:textId="59FA04B7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.20415</w:t>
            </w:r>
          </w:p>
        </w:tc>
        <w:tc>
          <w:tcPr>
            <w:tcW w:w="2766" w:type="dxa"/>
          </w:tcPr>
          <w:p w14:paraId="04A054E4" w14:textId="5E490E9E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-.01093</w:t>
            </w:r>
          </w:p>
        </w:tc>
      </w:tr>
      <w:tr w:rsidR="00C96B62" w14:paraId="08F557AA" w14:textId="77777777" w:rsidTr="009320AA">
        <w:tc>
          <w:tcPr>
            <w:tcW w:w="2765" w:type="dxa"/>
          </w:tcPr>
          <w:p w14:paraId="1AE2488E" w14:textId="70E67A13" w:rsidR="00C96B62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009</w:t>
            </w:r>
          </w:p>
        </w:tc>
        <w:tc>
          <w:tcPr>
            <w:tcW w:w="2765" w:type="dxa"/>
          </w:tcPr>
          <w:p w14:paraId="760632B8" w14:textId="0B3E5088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.08859</w:t>
            </w:r>
          </w:p>
        </w:tc>
        <w:tc>
          <w:tcPr>
            <w:tcW w:w="2766" w:type="dxa"/>
          </w:tcPr>
          <w:p w14:paraId="66D4B374" w14:textId="70550C18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-.03435</w:t>
            </w:r>
          </w:p>
        </w:tc>
      </w:tr>
      <w:tr w:rsidR="00AF72DB" w14:paraId="57AA511B" w14:textId="77777777" w:rsidTr="009320AA">
        <w:tc>
          <w:tcPr>
            <w:tcW w:w="2765" w:type="dxa"/>
          </w:tcPr>
          <w:p w14:paraId="0DDB4657" w14:textId="44CB3734" w:rsidR="00AF72DB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008</w:t>
            </w:r>
          </w:p>
        </w:tc>
        <w:tc>
          <w:tcPr>
            <w:tcW w:w="2765" w:type="dxa"/>
          </w:tcPr>
          <w:p w14:paraId="3026204B" w14:textId="17B99F37" w:rsidR="00AF72DB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-.14252</w:t>
            </w:r>
          </w:p>
        </w:tc>
        <w:tc>
          <w:tcPr>
            <w:tcW w:w="2766" w:type="dxa"/>
          </w:tcPr>
          <w:p w14:paraId="41B1A8ED" w14:textId="7CEBEF33" w:rsidR="00AF72DB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-.15147</w:t>
            </w:r>
          </w:p>
        </w:tc>
      </w:tr>
      <w:tr w:rsidR="00AF72DB" w14:paraId="15ADBD34" w14:textId="77777777" w:rsidTr="009320AA">
        <w:tc>
          <w:tcPr>
            <w:tcW w:w="2765" w:type="dxa"/>
          </w:tcPr>
          <w:p w14:paraId="3C4FF14B" w14:textId="6F07834D" w:rsidR="00AF72DB" w:rsidRDefault="00AF72DB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007</w:t>
            </w:r>
          </w:p>
        </w:tc>
        <w:tc>
          <w:tcPr>
            <w:tcW w:w="2765" w:type="dxa"/>
          </w:tcPr>
          <w:p w14:paraId="61E8AFB2" w14:textId="3CF49FBE" w:rsidR="00AF72DB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.14637</w:t>
            </w:r>
          </w:p>
        </w:tc>
        <w:tc>
          <w:tcPr>
            <w:tcW w:w="2766" w:type="dxa"/>
          </w:tcPr>
          <w:p w14:paraId="36A93D9F" w14:textId="2936C34A" w:rsidR="00AF72DB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-.03435</w:t>
            </w:r>
          </w:p>
        </w:tc>
      </w:tr>
      <w:tr w:rsidR="00AF72DB" w14:paraId="2402815A" w14:textId="77777777" w:rsidTr="009320AA">
        <w:tc>
          <w:tcPr>
            <w:tcW w:w="2765" w:type="dxa"/>
          </w:tcPr>
          <w:p w14:paraId="42B4EAFE" w14:textId="7B6056C2" w:rsidR="00AF72DB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好</w:t>
            </w:r>
          </w:p>
        </w:tc>
        <w:tc>
          <w:tcPr>
            <w:tcW w:w="2765" w:type="dxa"/>
          </w:tcPr>
          <w:p w14:paraId="31A7F27C" w14:textId="7CB87B84" w:rsidR="00AF72DB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-2.10698</w:t>
            </w:r>
          </w:p>
        </w:tc>
        <w:tc>
          <w:tcPr>
            <w:tcW w:w="2766" w:type="dxa"/>
          </w:tcPr>
          <w:p w14:paraId="130E3B38" w14:textId="393D1503" w:rsidR="00AF72DB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-2.16585</w:t>
            </w:r>
          </w:p>
        </w:tc>
      </w:tr>
      <w:tr w:rsidR="00437CB2" w14:paraId="2EC1DB9E" w14:textId="77777777" w:rsidTr="009320AA">
        <w:tc>
          <w:tcPr>
            <w:tcW w:w="2765" w:type="dxa"/>
          </w:tcPr>
          <w:p w14:paraId="188A3F43" w14:textId="5E130E98" w:rsidR="00437CB2" w:rsidRDefault="00437CB2" w:rsidP="00437CB2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较好</w:t>
            </w:r>
          </w:p>
        </w:tc>
        <w:tc>
          <w:tcPr>
            <w:tcW w:w="2765" w:type="dxa"/>
          </w:tcPr>
          <w:p w14:paraId="0AA9A949" w14:textId="083227A8" w:rsidR="00437CB2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-.95141</w:t>
            </w:r>
          </w:p>
        </w:tc>
        <w:tc>
          <w:tcPr>
            <w:tcW w:w="2766" w:type="dxa"/>
          </w:tcPr>
          <w:p w14:paraId="29D014FC" w14:textId="0D16136F" w:rsidR="00437CB2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-.99470</w:t>
            </w:r>
          </w:p>
        </w:tc>
      </w:tr>
      <w:tr w:rsidR="00437CB2" w14:paraId="5EE55724" w14:textId="77777777" w:rsidTr="009320AA">
        <w:tc>
          <w:tcPr>
            <w:tcW w:w="2765" w:type="dxa"/>
          </w:tcPr>
          <w:p w14:paraId="15E631DD" w14:textId="6713A735" w:rsidR="00437CB2" w:rsidRDefault="00437CB2" w:rsidP="00437CB2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  <w:tc>
          <w:tcPr>
            <w:tcW w:w="2765" w:type="dxa"/>
          </w:tcPr>
          <w:p w14:paraId="3B13AF19" w14:textId="3B6E1734" w:rsidR="00437CB2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.20415</w:t>
            </w:r>
          </w:p>
        </w:tc>
        <w:tc>
          <w:tcPr>
            <w:tcW w:w="2766" w:type="dxa"/>
          </w:tcPr>
          <w:p w14:paraId="7D311451" w14:textId="267A5689" w:rsidR="00437CB2" w:rsidRPr="00BA03FE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.17645</w:t>
            </w:r>
          </w:p>
        </w:tc>
      </w:tr>
      <w:tr w:rsidR="00C96B62" w14:paraId="28CB2C76" w14:textId="77777777" w:rsidTr="009320AA">
        <w:tc>
          <w:tcPr>
            <w:tcW w:w="2765" w:type="dxa"/>
          </w:tcPr>
          <w:p w14:paraId="4730C529" w14:textId="7777777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</w:p>
        </w:tc>
        <w:tc>
          <w:tcPr>
            <w:tcW w:w="2765" w:type="dxa"/>
          </w:tcPr>
          <w:p w14:paraId="35089CC6" w14:textId="24B31170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1.35971</w:t>
            </w:r>
          </w:p>
        </w:tc>
        <w:tc>
          <w:tcPr>
            <w:tcW w:w="2766" w:type="dxa"/>
          </w:tcPr>
          <w:p w14:paraId="26731A78" w14:textId="5B694F4A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1.34760</w:t>
            </w:r>
          </w:p>
        </w:tc>
      </w:tr>
      <w:tr w:rsidR="00C96B62" w14:paraId="73386C7A" w14:textId="77777777" w:rsidTr="009320AA">
        <w:tc>
          <w:tcPr>
            <w:tcW w:w="2765" w:type="dxa"/>
          </w:tcPr>
          <w:p w14:paraId="15756D8E" w14:textId="7777777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重度污染</w:t>
            </w:r>
          </w:p>
        </w:tc>
        <w:tc>
          <w:tcPr>
            <w:tcW w:w="2765" w:type="dxa"/>
          </w:tcPr>
          <w:p w14:paraId="54F8AD63" w14:textId="1B731957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2.51528</w:t>
            </w:r>
          </w:p>
        </w:tc>
        <w:tc>
          <w:tcPr>
            <w:tcW w:w="2766" w:type="dxa"/>
          </w:tcPr>
          <w:p w14:paraId="63208FC5" w14:textId="30341C31" w:rsidR="00C96B62" w:rsidRDefault="00437CB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37CB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2.51876</w:t>
            </w:r>
          </w:p>
        </w:tc>
      </w:tr>
    </w:tbl>
    <w:p w14:paraId="56A68472" w14:textId="77777777" w:rsidR="00C96B62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D33FAA1" w14:textId="77777777" w:rsidR="00C96B62" w:rsidRPr="00D520A6" w:rsidRDefault="00C96B62" w:rsidP="00C96B62">
      <w:pPr>
        <w:ind w:firstLineChars="350" w:firstLine="63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无量纲化</w:t>
      </w:r>
    </w:p>
    <w:p w14:paraId="5E22DDEF" w14:textId="77777777" w:rsidR="00C96B62" w:rsidRPr="002D726B" w:rsidRDefault="00C96B62" w:rsidP="00C96B6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2D726B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计算主成分得分及综合评价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软件计算出各主成分得分，然后将各主成分得分与对应的</w:t>
      </w:r>
    </w:p>
    <w:p w14:paraId="7AA905CB" w14:textId="77777777" w:rsidR="00C96B62" w:rsidRPr="002D726B" w:rsidRDefault="00C96B62" w:rsidP="00C96B62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方差贡献率相乘以后的总和，即为综合得分</w:t>
      </w:r>
    </w:p>
    <w:p w14:paraId="41503322" w14:textId="77777777" w:rsidR="00C96B62" w:rsidRDefault="00C96B62" w:rsidP="00C96B62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综合得分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Z=Z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质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量状况进行定量化描述，得分越高的，表明其受污染的程度越高，以此来对环境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质量状况进行排序和分级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，结果如下表：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B62" w14:paraId="25189EFE" w14:textId="77777777" w:rsidTr="009320AA">
        <w:tc>
          <w:tcPr>
            <w:tcW w:w="8296" w:type="dxa"/>
          </w:tcPr>
          <w:p w14:paraId="3CC678E4" w14:textId="454C33C1" w:rsidR="00C96B62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年份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及声音质量级别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     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综合得分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主成分得分排序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声音质量分类</w:t>
            </w:r>
          </w:p>
        </w:tc>
      </w:tr>
      <w:tr w:rsidR="00C96B62" w14:paraId="36EDA0BF" w14:textId="77777777" w:rsidTr="009320AA">
        <w:tc>
          <w:tcPr>
            <w:tcW w:w="8296" w:type="dxa"/>
          </w:tcPr>
          <w:p w14:paraId="3C9839C9" w14:textId="17E79FDE" w:rsidR="00C96B62" w:rsidRPr="00BB3128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016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-0.1328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-0.1328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6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C96B62" w14:paraId="10CF17BF" w14:textId="77777777" w:rsidTr="009320AA">
        <w:tc>
          <w:tcPr>
            <w:tcW w:w="8296" w:type="dxa"/>
          </w:tcPr>
          <w:p w14:paraId="553C993A" w14:textId="2F9628C0" w:rsidR="00C96B62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015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-0.2984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-0.2984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2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C96B62" w14:paraId="5ADF89BB" w14:textId="77777777" w:rsidTr="009320AA">
        <w:tc>
          <w:tcPr>
            <w:tcW w:w="8296" w:type="dxa"/>
          </w:tcPr>
          <w:p w14:paraId="73CEAD69" w14:textId="1782E055" w:rsidR="00C96B62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014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-0.3305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-0.3305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1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C96B62" w14:paraId="266867B4" w14:textId="77777777" w:rsidTr="009320AA">
        <w:tc>
          <w:tcPr>
            <w:tcW w:w="8296" w:type="dxa"/>
          </w:tcPr>
          <w:p w14:paraId="4CB3BD0D" w14:textId="22227D23" w:rsidR="00C96B62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013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-0.2974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-0.2974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3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C96B62" w14:paraId="7231A529" w14:textId="77777777" w:rsidTr="009320AA">
        <w:tc>
          <w:tcPr>
            <w:tcW w:w="8296" w:type="dxa"/>
          </w:tcPr>
          <w:p w14:paraId="0E5F1EEA" w14:textId="7B32CD7B" w:rsidR="00C96B62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012</w:t>
            </w:r>
            <w:r w:rsidR="00C96B62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96B6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-0.2234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-0.2234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4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2C2497" w14:paraId="68129009" w14:textId="77777777" w:rsidTr="009320AA">
        <w:tc>
          <w:tcPr>
            <w:tcW w:w="8296" w:type="dxa"/>
          </w:tcPr>
          <w:p w14:paraId="4AF9B145" w14:textId="68656012" w:rsidR="002C2497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011         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-0.1097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-0.1097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7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2C2497" w14:paraId="292090D4" w14:textId="77777777" w:rsidTr="009320AA">
        <w:tc>
          <w:tcPr>
            <w:tcW w:w="8296" w:type="dxa"/>
          </w:tcPr>
          <w:p w14:paraId="7F137947" w14:textId="0CEA698F" w:rsidR="002C2497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010         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0.1367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0.1367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10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2C2497" w14:paraId="1FD04B04" w14:textId="77777777" w:rsidTr="009320AA">
        <w:tc>
          <w:tcPr>
            <w:tcW w:w="8296" w:type="dxa"/>
          </w:tcPr>
          <w:p w14:paraId="05C2DE21" w14:textId="16DC4CBC" w:rsidR="002C2497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009         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0.0383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2C249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0.0383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8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2C2497" w14:paraId="457209A1" w14:textId="77777777" w:rsidTr="009320AA">
        <w:tc>
          <w:tcPr>
            <w:tcW w:w="8296" w:type="dxa"/>
          </w:tcPr>
          <w:p w14:paraId="2AD195F1" w14:textId="3C7D5B5A" w:rsidR="002C2497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008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-0.2079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-0.2079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5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2C2497" w14:paraId="34C2F7C2" w14:textId="77777777" w:rsidTr="009320AA">
        <w:tc>
          <w:tcPr>
            <w:tcW w:w="8296" w:type="dxa"/>
          </w:tcPr>
          <w:p w14:paraId="4CC4CB95" w14:textId="7AEE2975" w:rsidR="002C2497" w:rsidRDefault="002C2497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007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0.0792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0.0792</w:t>
            </w:r>
            <w:r w:rsidR="004069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9</w:t>
            </w:r>
            <w:r w:rsidR="00DE5AC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DE5ACA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</w:p>
        </w:tc>
      </w:tr>
      <w:tr w:rsidR="00C96B62" w14:paraId="32AD9612" w14:textId="77777777" w:rsidTr="009320AA">
        <w:tc>
          <w:tcPr>
            <w:tcW w:w="8296" w:type="dxa"/>
          </w:tcPr>
          <w:p w14:paraId="759A11E6" w14:textId="2E931FC7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好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-3.0217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-3.0217</w:t>
            </w:r>
          </w:p>
        </w:tc>
      </w:tr>
      <w:tr w:rsidR="00C96B62" w14:paraId="1BA5F07F" w14:textId="77777777" w:rsidTr="009320AA">
        <w:tc>
          <w:tcPr>
            <w:tcW w:w="8296" w:type="dxa"/>
          </w:tcPr>
          <w:p w14:paraId="48631192" w14:textId="6C9482E1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较好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-1.3762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-1.3762</w:t>
            </w:r>
          </w:p>
        </w:tc>
      </w:tr>
      <w:tr w:rsidR="00C96B62" w14:paraId="76C94AF5" w14:textId="77777777" w:rsidTr="009320AA">
        <w:tc>
          <w:tcPr>
            <w:tcW w:w="8296" w:type="dxa"/>
          </w:tcPr>
          <w:p w14:paraId="4808058A" w14:textId="2C85F5F0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轻度污染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0.2692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0.2692</w:t>
            </w:r>
          </w:p>
        </w:tc>
      </w:tr>
      <w:tr w:rsidR="00C96B62" w14:paraId="71F2E3E5" w14:textId="77777777" w:rsidTr="009320AA">
        <w:tc>
          <w:tcPr>
            <w:tcW w:w="8296" w:type="dxa"/>
          </w:tcPr>
          <w:p w14:paraId="234D9251" w14:textId="7C98AD1F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中度污染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1.9146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1.9146</w:t>
            </w:r>
          </w:p>
        </w:tc>
      </w:tr>
      <w:tr w:rsidR="00C96B62" w14:paraId="27EB3906" w14:textId="77777777" w:rsidTr="009320AA">
        <w:tc>
          <w:tcPr>
            <w:tcW w:w="8296" w:type="dxa"/>
          </w:tcPr>
          <w:p w14:paraId="0E1DCA6C" w14:textId="2054CD24" w:rsidR="00C96B62" w:rsidRDefault="00C96B62" w:rsidP="009320AA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重度污染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3.5600</w:t>
            </w:r>
            <w:r w:rsid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</w:t>
            </w:r>
            <w:r w:rsidR="00513502" w:rsidRPr="0051350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3.5600</w:t>
            </w:r>
          </w:p>
        </w:tc>
      </w:tr>
    </w:tbl>
    <w:p w14:paraId="05F75FF8" w14:textId="77777777" w:rsidR="00C96B62" w:rsidRDefault="00C96B62" w:rsidP="00C96B62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2066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环境空气质量状况综合评价结果</w:t>
      </w:r>
    </w:p>
    <w:p w14:paraId="7E2956D3" w14:textId="3E338B38" w:rsidR="00C96B62" w:rsidRPr="00D520A6" w:rsidRDefault="00C96B62" w:rsidP="00C96B62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由上表可得出结论：</w:t>
      </w:r>
      <w:r w:rsidR="00DE5ACA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北京近十年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声音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质量状况由</w:t>
      </w:r>
      <w:proofErr w:type="gramStart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优到劣依次</w:t>
      </w:r>
      <w:proofErr w:type="gramEnd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014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015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013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2012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2008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2016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2011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2009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2007</w:t>
      </w:r>
      <w:r w:rsidR="00F67A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F67A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2010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12F4E387" w14:textId="0A26B29C" w:rsidR="00C96B62" w:rsidRDefault="00F67AFE" w:rsidP="00F67AFE">
      <w:pPr>
        <w:jc w:val="center"/>
      </w:pPr>
      <w:r>
        <w:rPr>
          <w:noProof/>
        </w:rPr>
        <w:lastRenderedPageBreak/>
        <w:drawing>
          <wp:inline distT="0" distB="0" distL="0" distR="0" wp14:anchorId="099EBCA7" wp14:editId="75635F62">
            <wp:extent cx="3292929" cy="291669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声环境第三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811" cy="29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BF23" w14:textId="738B98D9" w:rsidR="00F67AFE" w:rsidRDefault="00F67AFE" w:rsidP="00C96B62"/>
    <w:p w14:paraId="6B13E06E" w14:textId="125BE37E" w:rsidR="00F67AFE" w:rsidRPr="00611122" w:rsidRDefault="00F67AFE" w:rsidP="00F67AFE">
      <w:pPr>
        <w:jc w:val="left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结合灰色预测模型得到北京近十年声环境变化趋势以及未来十年</w:t>
      </w:r>
      <w:r w:rsidR="00E940BE">
        <w:rPr>
          <w:rFonts w:hint="eastAsia"/>
        </w:rPr>
        <w:t>声</w:t>
      </w:r>
      <w:r>
        <w:rPr>
          <w:rFonts w:hint="eastAsia"/>
        </w:rPr>
        <w:t>环境变化趋势，由图可知，北京近十年</w:t>
      </w:r>
      <w:r w:rsidR="00E940BE">
        <w:rPr>
          <w:rFonts w:hint="eastAsia"/>
        </w:rPr>
        <w:t>声</w:t>
      </w:r>
      <w:r>
        <w:rPr>
          <w:rFonts w:hint="eastAsia"/>
        </w:rPr>
        <w:t>环境综合分数呈下降趋势，表明其受污染程度随着年份的增长呈现下降趋势，说明北京近十年对于环境污染的改善和处理下了苦心，环境正在变得越来越好。</w:t>
      </w:r>
    </w:p>
    <w:p w14:paraId="4D73B5D7" w14:textId="77777777" w:rsidR="00F67AFE" w:rsidRPr="00F67AFE" w:rsidRDefault="00F67AFE" w:rsidP="00C96B62"/>
    <w:p w14:paraId="78B3710A" w14:textId="77777777" w:rsidR="0090267F" w:rsidRPr="00C96B62" w:rsidRDefault="00AD531D" w:rsidP="00C96B62"/>
    <w:sectPr w:rsidR="0090267F" w:rsidRPr="00C96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AF2D" w14:textId="77777777" w:rsidR="00AD531D" w:rsidRDefault="00AD531D" w:rsidP="00C96B62">
      <w:r>
        <w:separator/>
      </w:r>
    </w:p>
  </w:endnote>
  <w:endnote w:type="continuationSeparator" w:id="0">
    <w:p w14:paraId="5D9BECB6" w14:textId="77777777" w:rsidR="00AD531D" w:rsidRDefault="00AD531D" w:rsidP="00C9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3C2F" w14:textId="77777777" w:rsidR="00AD531D" w:rsidRDefault="00AD531D" w:rsidP="00C96B62">
      <w:r>
        <w:separator/>
      </w:r>
    </w:p>
  </w:footnote>
  <w:footnote w:type="continuationSeparator" w:id="0">
    <w:p w14:paraId="1669891D" w14:textId="77777777" w:rsidR="00AD531D" w:rsidRDefault="00AD531D" w:rsidP="00C96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06"/>
    <w:rsid w:val="00042206"/>
    <w:rsid w:val="00092493"/>
    <w:rsid w:val="002C2497"/>
    <w:rsid w:val="004069AF"/>
    <w:rsid w:val="00437CB2"/>
    <w:rsid w:val="00513502"/>
    <w:rsid w:val="00905D17"/>
    <w:rsid w:val="00AD531D"/>
    <w:rsid w:val="00AF72DB"/>
    <w:rsid w:val="00B26127"/>
    <w:rsid w:val="00C96B62"/>
    <w:rsid w:val="00DE5ACA"/>
    <w:rsid w:val="00E85D5A"/>
    <w:rsid w:val="00E86886"/>
    <w:rsid w:val="00E940BE"/>
    <w:rsid w:val="00F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527DA"/>
  <w15:chartTrackingRefBased/>
  <w15:docId w15:val="{97F7302C-D3CE-47D7-843E-A148466E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B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B62"/>
    <w:rPr>
      <w:sz w:val="18"/>
      <w:szCs w:val="18"/>
    </w:rPr>
  </w:style>
  <w:style w:type="table" w:styleId="a7">
    <w:name w:val="Table Grid"/>
    <w:basedOn w:val="a1"/>
    <w:uiPriority w:val="39"/>
    <w:rsid w:val="00C96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22</cp:revision>
  <dcterms:created xsi:type="dcterms:W3CDTF">2018-05-29T10:21:00Z</dcterms:created>
  <dcterms:modified xsi:type="dcterms:W3CDTF">2018-05-29T18:29:00Z</dcterms:modified>
</cp:coreProperties>
</file>