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Plataforma Web Integral - Sinergi.cl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[p.w.S]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6ddvojipfz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322539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zep0qrms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9fylqs18d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9behhbdg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htukhlr64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</w:rPr>
      </w:pPr>
      <w:bookmarkStart w:colFirst="0" w:colLast="0" w:name="_heading=h.vzep0qrms0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12-09-2026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inicial: épicas, priorización MoSCoW e historias de usuario derivadas de la Definición del Proyecto.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n0p0x955pbv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Informática - Sede Melipilla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Web Integral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Sinergi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Sinergi.cl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 del semestre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18 del semestre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Sinergi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Hernandez Aliaga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a5ppqgwhbj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21.844.441-5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bru.zuniga@duocuc.cl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21.427.600-3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Marco Gonzalez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marc.gonzaleze@duocuc.cl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20.955.953-6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Simon Benavente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si.benavente@duocuc.cl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</w:rPr>
      </w:pPr>
      <w:bookmarkStart w:colFirst="0" w:colLast="0" w:name="_heading=h.ey9fylqs18df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3345"/>
        <w:gridCol w:w="4575"/>
        <w:tblGridChange w:id="0">
          <w:tblGrid>
            <w:gridCol w:w="1020"/>
            <w:gridCol w:w="334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Sitio Público (Módulo 1)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institucional, áreas de especialización, portafolio de proyectos finalizados, sección de noticias/artículos técnicos, formulario de contacto y captación de leads.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Portal de Clientes (Módulo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sin autoregistro, creación de tarjetas de proyecto, verificación, visualización de avance de hitos, descarga de documentos y canal de solicitudes/chat con la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de Administración / Empresa (Módulo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Verificación de proyectos entrantes, construcción y actualización del desglose de hitos, gestión de usuarios, registro manual de proyectos y dashboard de métricas generales.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Inteligencia Artificial — Chatbot (Módulo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Dos chatbots implementados mediante APIs externas de terceros: uno de atención general en el sitio público, y otro en el portal de clientes que responde sobre los proyectos propios de cada cliente autenticado, con aislamiento estricto de información por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Datos, Seguridad, Notificaciones e Infraestructura (Módulo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reforzada del login, validación de archivos subidos, notificaciones automáticas por correo, tareas en segundo plano y despliegue con Docker en los 3 entornos.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(Módulo 6 — futuro, 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general de materiales, insumos y herramientas de la empresa. Queda fuera del alcance del MVP; se evaluará solo si sobra tiempo y Sinergi confirma interés.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Arial" w:cs="Arial" w:eastAsia="Arial" w:hAnsi="Arial"/>
        </w:rPr>
      </w:pPr>
      <w:bookmarkStart w:colFirst="0" w:colLast="0" w:name="_heading=h.slx1hrd2gug4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Arial" w:cs="Arial" w:eastAsia="Arial" w:hAnsi="Arial"/>
        </w:rPr>
      </w:pPr>
      <w:bookmarkStart w:colFirst="0" w:colLast="0" w:name="_heading=h.3g9behhbdgg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Priorización de Épicas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 de estimación utilizada: MoSCoW (Must have / Should have / Could have / Won't have). Se eligió esta técnica por su simplicidad para validar el alcance junto a un cliente real (Sinergi) sin necesariamente formación técnica, y porque permite acotar rápidamente qué módulos son indispensables para el primer lanzamiento dentro del tiempo acotado de un Proyecto de Título.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2325"/>
        <w:gridCol w:w="1515"/>
        <w:gridCol w:w="3900"/>
        <w:tblGridChange w:id="0">
          <w:tblGrid>
            <w:gridCol w:w="1110"/>
            <w:gridCol w:w="2325"/>
            <w:gridCol w:w="151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Priorización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Portal de Clientes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el núcleo de la propuesta de valor del proyecto: sin esto, Sinergi no logra dar seguimiento a sus clientes.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de Administración / Empresa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este módulo la empresa no tiene forma de operar el flujo central (verificar, desglosar hitos, actualizar avance).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Datos, Seguridad e Infraestructura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la base técnica y de seguridad de todo el sistema; no existe autoregistro, por lo que la seguridad del login es crítica.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Sitio Público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Aporta valor de imagen e historial, pero el sistema puede operar internamente sin todas sus secciones desde el primer lanzamiento.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Chatbot IA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 la atención general y la consulta de proyectos, pero no es indispensable para el flujo central cliente-empresa-admin.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Won't Have (esta versión)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Explícitamente definido como futuro y de baja prioridad; no se conecta con el módulo de proyectos en esta etapa.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Arial" w:cs="Arial" w:eastAsia="Arial" w:hAnsi="Arial"/>
        </w:rPr>
      </w:pPr>
      <w:bookmarkStart w:colFirst="0" w:colLast="0" w:name="_heading=h.sivy72kezv9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>
          <w:rFonts w:ascii="Arial" w:cs="Arial" w:eastAsia="Arial" w:hAnsi="Arial"/>
        </w:rPr>
      </w:pPr>
      <w:bookmarkStart w:colFirst="0" w:colLast="0" w:name="_heading=h.sbhtukhlr64d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 1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 2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 3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-247649</wp:posOffset>
          </wp:positionV>
          <wp:extent cx="1292569" cy="316548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2569" cy="3165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GJB0yt24KBcXoAZmou8dxWvyw==">CgMxLjAyDWguczZkZHZvamlwZnoyDGgudnplcDBxcm1zMDIOaC51bjBwMHg5NTVwYnYyDmguemE1cHBxZ3doYmprMg5oLmV5OWZ5bHFzMThkZjIOaC5zbHgxaHJkMmd1ZzQyDWguM2c5YmVoaGJkZ2cyDmguc2l2eTcya2V6djlmMg5oLnNiaHR1a2hscjY0ZDgAciExemNlR19sVnUyY1B3LXJUbEo1WWc0M3dEdDY2WGM1cUE=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