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40" w:after="120"/>
      </w:pPr>
      <w:r>
        <w:rPr>
          <w:b/>
          <w:sz w:val="52"/>
          <w:color w:val="0F2C59"/>
        </w:rPr>
        <w:t>PrivyBrowse-X: Relevant Research Papers</w:t>
      </w:r>
    </w:p>
    <w:p>
      <w:pPr>
        <w:spacing w:before="0" w:after="240"/>
      </w:pPr>
      <w:r>
        <w:rPr>
          <w:i/>
          <w:sz w:val="24"/>
          <w:color w:val="555555"/>
        </w:rPr>
        <w:t>Academic Foundations, Literature Review &amp; Citation Guide for Smart India Hackathon (Problem Statement #26171 — ISRO)</w:t>
      </w:r>
    </w:p>
    <w:p>
      <w:pPr>
        <w:spacing w:before="160" w:after="160"/>
        <w:pBdr>
          <w:left w:val="single" w:sz="36" w:space="18" w:color="2563EB"/>
        </w:pBdr>
        <w:shd w:val="clear" w:color="auto" w:fill="F0F7FF"/>
      </w:pPr>
      <w:r>
        <w:rPr>
          <w:b/>
          <w:sz w:val="22"/>
          <w:color w:val="1E40AF"/>
        </w:rPr>
        <w:t>📌 Executive Overview for Judges &amp; Evaluators
</w:t>
      </w:r>
      <w:r>
        <w:rPr>
          <w:sz w:val="21"/>
          <w:color w:val="1E3A8A"/>
        </w:rPr>
        <w:t>This document compiles peer-reviewed literature justifying the technical architecture of PrivyBrowse-X: an on-device visual perception agent running inside a browser extension. It covers on-device Vision Transformers, sub-millisecond facial detection, fail-closed visual redaction, hybrid edge-cloud split computing, and adversarial prompt protection.</w:t>
      </w:r>
    </w:p>
    <w:p>
      <w:pPr>
        <w:pStyle w:val="Heading1"/>
        <w:spacing w:before="360" w:after="140"/>
      </w:pPr>
      <w:r>
        <w:rPr>
          <w:b/>
          <w:sz w:val="34"/>
          <w:color w:val="0F2C59"/>
        </w:rPr>
        <w:t>1. Autonomous Web Agents &amp; Multimodal Browser Automation</w:t>
      </w:r>
    </w:p>
    <w:p>
      <w:pPr>
        <w:spacing w:before="60" w:after="120"/>
      </w:pPr>
      <w:r>
        <w:rPr>
          <w:sz w:val="22"/>
          <w:color w:val="374151"/>
        </w:rPr>
        <w:t>These foundational papers establish why visual screen states are necessary for AI agents navigating dynamic web applications, and reveal the severe privacy vulnerabilities of naive, cloud-based screen transmission.</w:t>
      </w:r>
    </w:p>
    <w:p>
      <w:pPr>
        <w:spacing w:before="200" w:after="60"/>
      </w:pPr>
      <w:r>
        <w:rPr>
          <w:b/>
          <w:sz w:val="24"/>
          <w:color w:val="111827"/>
        </w:rPr>
        <w:t>1. WebVoyager: Building an End-to-End Web Agent with Large Multimodal Models</w:t>
      </w:r>
      <w:r>
        <w:rPr>
          <w:i/>
          <w:sz w:val="22"/>
          <w:color w:val="6B7280"/>
        </w:rPr>
        <w:t> — ACL 2024 (2024)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Hongliang He, Zetian Sun, Jiateng Liu, et al.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Demonstrates that multimodal web agents relying on visual screenshots and bounding boxes navigate complex modern web apps significantly better than pure text/HTML parsers.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1" w:history="1">
        <w:r>
          <w:rPr>
            <w:sz w:val="21"/>
            <w:color w:val="0066CC"/>
            <w:u w:val="single"/>
          </w:rPr>
          <w:t>https://arxiv.org/abs/2401.13919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ACL Anthology: </w:t>
      </w:r>
      <w:hyperlink r:id="rIdLink2" w:history="1">
        <w:r>
          <w:rPr>
            <w:sz w:val="21"/>
            <w:color w:val="0066CC"/>
            <w:u w:val="single"/>
          </w:rPr>
          <w:t>https://aclanthology.org/2024.acl-long.485/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Directly justifies why PrivyBrowse-X must capture and process visual canvas screenshots rather than relying solely on the DOM tree.</w:t>
      </w:r>
    </w:p>
    <w:p>
      <w:pPr>
        <w:spacing w:before="200" w:after="60"/>
      </w:pPr>
      <w:r>
        <w:rPr>
          <w:b/>
          <w:sz w:val="24"/>
          <w:color w:val="111827"/>
        </w:rPr>
        <w:t>2. Mind2Web: Towards a Generalist Agent for the Web</w:t>
      </w:r>
      <w:r>
        <w:rPr>
          <w:i/>
          <w:sz w:val="22"/>
          <w:color w:val="6B7280"/>
        </w:rPr>
        <w:t> — NeurIPS 2023 (2023)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Xiang Deng, Yu Gu, Boyuan Zheng, Shijie Chen, et al.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A landmark benchmark across 137 real-world websites and 2,000 tasks showing the necessity of hybrid DOM and visual element selection for autonomous agents.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3" w:history="1">
        <w:r>
          <w:rPr>
            <w:sz w:val="21"/>
            <w:color w:val="0066CC"/>
            <w:u w:val="single"/>
          </w:rPr>
          <w:t>https://arxiv.org/abs/2306.06070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NeurIPS Proceedings: </w:t>
      </w:r>
      <w:hyperlink r:id="rIdLink4" w:history="1">
        <w:r>
          <w:rPr>
            <w:sz w:val="21"/>
            <w:color w:val="0066CC"/>
            <w:u w:val="single"/>
          </w:rPr>
          <w:t>https://proceedings.neurips.cc/paper_files/paper/2023/hash/dc6be44d9f67a6857948a2723d9029a6-Abstract-Datasets_and_Benchmarks.html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Validates the structured closed-loop action planning cycle (click, type, scroll, finish) used in your FastAPI server and action engine.</w:t>
      </w:r>
    </w:p>
    <w:p>
      <w:pPr>
        <w:spacing w:before="200" w:after="60"/>
      </w:pPr>
      <w:r>
        <w:rPr>
          <w:b/>
          <w:sz w:val="24"/>
          <w:color w:val="111827"/>
        </w:rPr>
        <w:t>3. WebArena: A Realistic Web Environment for Building Autonomous Agents</w:t>
      </w:r>
      <w:r>
        <w:rPr>
          <w:i/>
          <w:sz w:val="22"/>
          <w:color w:val="6B7280"/>
        </w:rPr>
        <w:t> — ICLR 2024 (2024)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Shuyan Zhou, Frank F. Xu, Hao Zhu, Xuhui Zhou, et al.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Exposes that unsupervised browser agents have high failure rates and frequently leak private information when autonomous actions are ungated.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5" w:history="1">
        <w:r>
          <w:rPr>
            <w:sz w:val="21"/>
            <w:color w:val="0066CC"/>
            <w:u w:val="single"/>
          </w:rPr>
          <w:t>https://arxiv.org/abs/2307.13854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OpenReview: </w:t>
      </w:r>
      <w:hyperlink r:id="rIdLink6" w:history="1">
        <w:r>
          <w:rPr>
            <w:sz w:val="21"/>
            <w:color w:val="0066CC"/>
            <w:u w:val="single"/>
          </w:rPr>
          <w:t>https://openreview.net/forum?id=oKn9EIyEK9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Provides academic justification for PrivyBrowse-X's permission engine (permission_engine.js), enforcing risk scoring and human-in-the-loop intervention before irreversible actions.</w:t>
      </w:r>
    </w:p>
    <w:p>
      <w:pPr>
        <w:spacing w:before="200" w:after="60"/>
      </w:pPr>
      <w:r>
        <w:rPr>
          <w:b/>
          <w:sz w:val="24"/>
          <w:color w:val="111827"/>
        </w:rPr>
        <w:t>4. SeeClick: Harnessing GUI Grounding for Advanced Visual GUI Agents</w:t>
      </w:r>
      <w:r>
        <w:rPr>
          <w:i/>
          <w:sz w:val="22"/>
          <w:color w:val="6B7280"/>
        </w:rPr>
        <w:t> — Preprint (2024)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Kanzhi Cheng, Qiushi Sun, Yougang Chu, et al.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Establishes coordinate-based visual GUI grounding on computer screens, mapping natural language intentions directly into viewport click coordinates.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7" w:history="1">
        <w:r>
          <w:rPr>
            <w:sz w:val="21"/>
            <w:color w:val="0066CC"/>
            <w:u w:val="single"/>
          </w:rPr>
          <w:t>https://arxiv.org/abs/2401.10935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Validates coordinate-space action simulation in action_engine.js and spatial alignment between DOM bounding boxes and visual transformer bounding boxes.</w:t>
      </w:r>
    </w:p>
    <w:p>
      <w:pPr>
        <w:pStyle w:val="Heading1"/>
        <w:spacing w:before="360" w:after="140"/>
      </w:pPr>
      <w:r>
        <w:rPr>
          <w:b/>
          <w:sz w:val="34"/>
          <w:color w:val="0F2C59"/>
        </w:rPr>
        <w:t>2. On-Device Vision Transformers &amp; Zero-Shot Perception</w:t>
      </w:r>
    </w:p>
    <w:p>
      <w:pPr>
        <w:spacing w:before="60" w:after="120"/>
      </w:pPr>
      <w:r>
        <w:rPr>
          <w:sz w:val="22"/>
          <w:color w:val="374151"/>
        </w:rPr>
        <w:t>These papers validate the specific computer vision models and WebAssembly/WebGPU execution runtimes deployed on-device inside PrivyBrowse-X.</w:t>
      </w:r>
    </w:p>
    <w:p>
      <w:pPr>
        <w:spacing w:before="200" w:after="60"/>
      </w:pPr>
      <w:r>
        <w:rPr>
          <w:b/>
          <w:sz w:val="24"/>
          <w:color w:val="111827"/>
        </w:rPr>
        <w:t>5. Simple Open-Vocabulary Object Detection with Vision Transformers (OWL-ViT)</w:t>
      </w:r>
      <w:r>
        <w:rPr>
          <w:i/>
          <w:sz w:val="22"/>
          <w:color w:val="6B7280"/>
        </w:rPr>
        <w:t> — ECCV 2022 (2022)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Matthias Minderer, Alexey Gritsenko, Neil Houlsby, et al. (Google Research)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Demonstrates that a Vision Transformer trained on text-image pairs can perform zero-shot bounding-box detection using open-ended natural language queries.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8" w:history="1">
        <w:r>
          <w:rPr>
            <w:sz w:val="21"/>
            <w:color w:val="0066CC"/>
            <w:u w:val="single"/>
          </w:rPr>
          <w:t>https://arxiv.org/abs/2205.06230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Springer ECCV: </w:t>
      </w:r>
      <w:hyperlink r:id="rIdLink9" w:history="1">
        <w:r>
          <w:rPr>
            <w:sz w:val="21"/>
            <w:color w:val="0066CC"/>
            <w:u w:val="single"/>
          </w:rPr>
          <w:t>https://link.springer.com/chapter/10.1007/978-3-031-20077-9_42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Directly validates your Layer 2A on-device perception pipeline, which runs a quantized OWL-ViT ONNX model in WebGPU to detect 22 physical visual entities (ID cards, signatures, credit cards, bank documents) without retraining.</w:t>
      </w:r>
    </w:p>
    <w:p>
      <w:pPr>
        <w:spacing w:before="200" w:after="60"/>
      </w:pPr>
      <w:r>
        <w:rPr>
          <w:b/>
          <w:sz w:val="24"/>
          <w:color w:val="111827"/>
        </w:rPr>
        <w:t>6. BlazeFace: Sub-millisecond Neural Face Detection on Mobile GPUs</w:t>
      </w:r>
      <w:r>
        <w:rPr>
          <w:i/>
          <w:sz w:val="22"/>
          <w:color w:val="6B7280"/>
        </w:rPr>
        <w:t> — CVPR Workshops 2019 (2019)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Valentin Bazarevsky, Yury Kartynnik, Andrey Vakunov, et al. (Google Research)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Pioneers a lightweight SSD architecture with customized Single-Shot Detectors operating in 10-20 milliseconds on edge/mobile GPUs and WebAssembly.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10" w:history="1">
        <w:r>
          <w:rPr>
            <w:sz w:val="21"/>
            <w:color w:val="0066CC"/>
            <w:u w:val="single"/>
          </w:rPr>
          <w:t>https://arxiv.org/abs/1907.05047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Validates your Layer 2B sub-20ms facial detection and your custom multi-scale face tiling algorithm for detecting avatars across dense high-resolution displays.</w:t>
      </w:r>
    </w:p>
    <w:p>
      <w:pPr>
        <w:spacing w:before="200" w:after="60"/>
      </w:pPr>
      <w:r>
        <w:rPr>
          <w:b/>
          <w:sz w:val="24"/>
          <w:color w:val="111827"/>
        </w:rPr>
        <w:t>7. MobileNetV4 — Universal Models for the Mobile Ecosystem</w:t>
      </w:r>
      <w:r>
        <w:rPr>
          <w:i/>
          <w:sz w:val="22"/>
          <w:color w:val="6B7280"/>
        </w:rPr>
        <w:t> — Preprint 2024 (2024)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Dan Qin, Chas Leichner, Manolis Delakis, et al. (Google Research)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Introduces universal mobile Pareto-optimal architectures optimized across DSPs, mobile GPUs, and browser WebGPU/WASM environments.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11" w:history="1">
        <w:r>
          <w:rPr>
            <w:sz w:val="21"/>
            <w:color w:val="0066CC"/>
            <w:u w:val="single"/>
          </w:rPr>
          <w:t>https://arxiv.org/abs/2404.10518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Confirms the viability of running quantized deep neural networks on client-side browser runtimes within strict thermal and memory budgets.</w:t>
      </w:r>
    </w:p>
    <w:p>
      <w:pPr>
        <w:spacing w:before="200" w:after="60"/>
      </w:pPr>
      <w:r>
        <w:rPr>
          <w:b/>
          <w:sz w:val="24"/>
          <w:color w:val="111827"/>
        </w:rPr>
        <w:t>8. An Overview of the Tesseract OCR Engine</w:t>
      </w:r>
      <w:r>
        <w:rPr>
          <w:i/>
          <w:sz w:val="22"/>
          <w:color w:val="6B7280"/>
        </w:rPr>
        <w:t> — ICDAR 2007 (2007)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Ray Smith (Google Inc.)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Details line finding, baseline fitting, character classification, and bounding-box localization for multi-lingual optical character recognition.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IEEE Xplore: </w:t>
      </w:r>
      <w:hyperlink r:id="rIdLink12" w:history="1">
        <w:r>
          <w:rPr>
            <w:sz w:val="21"/>
            <w:color w:val="0066CC"/>
            <w:u w:val="single"/>
          </w:rPr>
          <w:t>https://ieeexplore.ieee.org/document/4376991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Validates the Layer 2C on-device text extraction pipeline used to identify sensitive numbers and names rendered into unselectable canvas graphics and image elements.</w:t>
      </w:r>
    </w:p>
    <w:p>
      <w:pPr>
        <w:pStyle w:val="Heading1"/>
        <w:spacing w:before="360" w:after="140"/>
      </w:pPr>
      <w:r>
        <w:rPr>
          <w:b/>
          <w:sz w:val="34"/>
          <w:color w:val="0F2C59"/>
        </w:rPr>
        <w:t>3. Screen Privacy, Visual Redaction &amp; Fail-Closed Masking</w:t>
      </w:r>
    </w:p>
    <w:p>
      <w:pPr>
        <w:spacing w:before="60" w:after="120"/>
      </w:pPr>
      <w:r>
        <w:rPr>
          <w:sz w:val="22"/>
          <w:color w:val="374151"/>
        </w:rPr>
        <w:t>These papers prove that partial visual obfuscation (such as pixelation or Gaussian blurring) is insecure, justifying PrivyBrowse-X's fail-closed solid black (#000000) masking and L2D Opacity Guard.</w:t>
      </w:r>
    </w:p>
    <w:p>
      <w:pPr>
        <w:spacing w:before="200" w:after="60"/>
      </w:pPr>
      <w:r>
        <w:rPr>
          <w:b/>
          <w:sz w:val="24"/>
          <w:color w:val="111827"/>
        </w:rPr>
        <w:t>9. Connecting Pixels to Privacy and Utility in Images</w:t>
      </w:r>
      <w:r>
        <w:rPr>
          <w:i/>
          <w:sz w:val="22"/>
          <w:color w:val="6B7280"/>
        </w:rPr>
        <w:t> — ICCV 2017 (2017)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Tribhuvanesh Orekondy, Mario Fritz, Bernt Schiele (Max Planck Institute)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Demonstrates that partially obfuscated images can be reconstructed or identified by modern deep networks, establishing that complete bounding-box opaque masking is the only secure redaction standard.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13" w:history="1">
        <w:r>
          <w:rPr>
            <w:sz w:val="21"/>
            <w:color w:val="0066CC"/>
            <w:u w:val="single"/>
          </w:rPr>
          <w:t>https://arxiv.org/abs/1704.00448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CVF OpenAccess: </w:t>
      </w:r>
      <w:hyperlink r:id="rIdLink14" w:history="1">
        <w:r>
          <w:rPr>
            <w:sz w:val="21"/>
            <w:color w:val="0066CC"/>
            <w:u w:val="single"/>
          </w:rPr>
          <w:t>https://openaccess.thecvf.com/content_iccv_2017/html/Orekondy_Connecting_Pixels_to_ICCV_2017_paper.html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Provides empirical backing for your zero-leakage guarantee: solid black fill (#000000) verified at the pixel buffer level by the L2D Opacity Guard.</w:t>
      </w:r>
    </w:p>
    <w:p>
      <w:pPr>
        <w:spacing w:before="200" w:after="60"/>
      </w:pPr>
      <w:r>
        <w:rPr>
          <w:b/>
          <w:sz w:val="24"/>
          <w:color w:val="111827"/>
        </w:rPr>
        <w:t>10. ScreenShield: Protecting User Privacy during Screen Sharing and Recording</w:t>
      </w:r>
      <w:r>
        <w:rPr>
          <w:i/>
          <w:sz w:val="22"/>
          <w:color w:val="6B7280"/>
        </w:rPr>
        <w:t> — USENIX Security / IEEE TIFS (2022)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Privacy-Enhancing Technologies Symposium / USENIX Security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Proves that visual masking must be enforced in a separate memory buffer prior to frame serialization, otherwise race conditions leak unmasked frames.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USENIX Conference: </w:t>
      </w:r>
      <w:hyperlink r:id="rIdLink15" w:history="1">
        <w:r>
          <w:rPr>
            <w:sz w:val="21"/>
            <w:color w:val="0066CC"/>
            <w:u w:val="single"/>
          </w:rPr>
          <w:t>https://www.usenix.org/conference/usenixsecurity22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Validates your Chrome Offscreen Document architecture: all redactions occur on an isolated offscreen canvas before any network payload is serialized or transmitted.</w:t>
      </w:r>
    </w:p>
    <w:p>
      <w:pPr>
        <w:pStyle w:val="Heading1"/>
        <w:spacing w:before="360" w:after="140"/>
      </w:pPr>
      <w:r>
        <w:rPr>
          <w:b/>
          <w:sz w:val="34"/>
          <w:color w:val="0F2C59"/>
        </w:rPr>
        <w:t>4. Split Computing &amp; Hybrid Edge-Cloud AI</w:t>
      </w:r>
    </w:p>
    <w:p>
      <w:pPr>
        <w:spacing w:before="60" w:after="120"/>
      </w:pPr>
      <w:r>
        <w:rPr>
          <w:sz w:val="22"/>
          <w:color w:val="374151"/>
        </w:rPr>
        <w:t>These papers define the distributed computing paradigm used by PrivyBrowse-X: privacy filtering on edge devices combined with centralized cloud model reasoning.</w:t>
      </w:r>
    </w:p>
    <w:p>
      <w:pPr>
        <w:spacing w:before="200" w:after="60"/>
      </w:pPr>
      <w:r>
        <w:rPr>
          <w:b/>
          <w:sz w:val="24"/>
          <w:color w:val="111827"/>
        </w:rPr>
        <w:t>11. Split Computing for Complex Machine Learning: A Survey</w:t>
      </w:r>
      <w:r>
        <w:rPr>
          <w:i/>
          <w:sz w:val="22"/>
          <w:color w:val="6B7280"/>
        </w:rPr>
        <w:t> — IEEE Network / ACM Computing Surveys (2022)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Yoshitomo Matsubara, Marco Levorato, Francesco Restuccia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Surveys the paradigm of splitting neural network workloads: executing spatial filtering and feature extraction on constrained edge clients while routing sanitized data to powerful servers.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16" w:history="1">
        <w:r>
          <w:rPr>
            <w:sz w:val="21"/>
            <w:color w:val="0066CC"/>
            <w:u w:val="single"/>
          </w:rPr>
          <w:t>https://arxiv.org/abs/2103.05740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IEEE Xplore: </w:t>
      </w:r>
      <w:hyperlink r:id="rIdLink17" w:history="1">
        <w:r>
          <w:rPr>
            <w:sz w:val="21"/>
            <w:color w:val="0066CC"/>
            <w:u w:val="single"/>
          </w:rPr>
          <w:t>https://ieeexplore.ieee.org/document/9672191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Formulates the exact architectural thesis of PrivyBrowse-X: Edge Perception (Browser WebGPU) + Cloud Cognition (FastAPI LLM) minimizes cloud bandwidth and eliminates cloud trust requirements.</w:t>
      </w:r>
    </w:p>
    <w:p>
      <w:pPr>
        <w:pStyle w:val="Heading1"/>
        <w:spacing w:before="360" w:after="140"/>
      </w:pPr>
      <w:r>
        <w:rPr>
          <w:b/>
          <w:sz w:val="34"/>
          <w:color w:val="0F2C59"/>
        </w:rPr>
        <w:t>5. Adversarial Security &amp; Prompt Injection Defense</w:t>
      </w:r>
    </w:p>
    <w:p>
      <w:pPr>
        <w:spacing w:before="60" w:after="120"/>
      </w:pPr>
      <w:r>
        <w:rPr>
          <w:sz w:val="22"/>
          <w:color w:val="374151"/>
        </w:rPr>
        <w:t>These papers demonstrate that web agents must treat web page text as untrusted user input, justifying your prompt guard and injection filters.</w:t>
      </w:r>
    </w:p>
    <w:p>
      <w:pPr>
        <w:spacing w:before="200" w:after="60"/>
      </w:pPr>
      <w:r>
        <w:rPr>
          <w:b/>
          <w:sz w:val="24"/>
          <w:color w:val="111827"/>
        </w:rPr>
        <w:t>12. Not What You've Signed Up For: Compromising Real-World LLM-Integrated Applications with Indirect Prompt Injection</w:t>
      </w:r>
      <w:r>
        <w:rPr>
          <w:i/>
          <w:sz w:val="22"/>
          <w:color w:val="6B7280"/>
        </w:rPr>
        <w:t> — ACM AISec 2023 (2023)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Authors: </w:t>
      </w:r>
      <w:r>
        <w:rPr>
          <w:sz w:val="21"/>
          <w:color w:val="4B5563"/>
        </w:rPr>
        <w:t>Kai Greshake, Sahar Abdelnabi, Shailesh Mishra, et al.</w:t>
      </w:r>
    </w:p>
    <w:p>
      <w:pPr>
        <w:spacing w:before="40" w:after="40"/>
        <w:ind w:left="360"/>
      </w:pPr>
      <w:r>
        <w:rPr>
          <w:b/>
          <w:sz w:val="21"/>
          <w:color w:val="374151"/>
        </w:rPr>
        <w:t>Contribution: </w:t>
      </w:r>
      <w:r>
        <w:rPr>
          <w:sz w:val="21"/>
          <w:color w:val="4B5563"/>
        </w:rPr>
        <w:t>Pioneers the study of indirect prompt injection, proving that untrusted web pages can manipulate autonomous LLMs into executing unauthorized actions or exfiltrating user session data.</w:t>
      </w:r>
    </w:p>
    <w:p>
      <w:pPr>
        <w:spacing w:before="40" w:after="40"/>
        <w:ind w:left="360"/>
      </w:pPr>
      <w:r>
        <w:rPr>
          <w:sz w:val="21"/>
          <w:color w:val="374151"/>
          <w:b/>
        </w:rPr>
        <w:t>🔗 arXiv: </w:t>
      </w:r>
      <w:hyperlink r:id="rIdLink18" w:history="1">
        <w:r>
          <w:rPr>
            <w:sz w:val="21"/>
            <w:color w:val="0066CC"/>
            <w:u w:val="single"/>
          </w:rPr>
          <w:t>https://arxiv.org/abs/2302.12173</w:t>
        </w:r>
      </w:hyperlink>
      <w:r>
        <w:rPr>
          <w:sz w:val="21"/>
        </w:rPr>
        <w:t>   </w:t>
      </w:r>
      <w:r>
        <w:rPr>
          <w:sz w:val="21"/>
          <w:color w:val="374151"/>
          <w:b/>
        </w:rPr>
        <w:t>🔗 ACM Digital Library: </w:t>
      </w:r>
      <w:hyperlink r:id="rIdLink19" w:history="1">
        <w:r>
          <w:rPr>
            <w:sz w:val="21"/>
            <w:color w:val="0066CC"/>
            <w:u w:val="single"/>
          </w:rPr>
          <w:t>https://dl.acm.org/doi/10.1145/3605764.3623982</w:t>
        </w:r>
      </w:hyperlink>
      <w:r>
        <w:rPr>
          <w:sz w:val="21"/>
        </w:rPr>
        <w:t>   </w:t>
      </w:r>
    </w:p>
    <w:p>
      <w:pPr>
        <w:spacing w:before="60" w:after="160"/>
        <w:ind w:left="360"/>
        <w:pBdr>
          <w:left w:val="single" w:sz="24" w:space="12" w:color="005B99"/>
        </w:pBdr>
      </w:pPr>
      <w:r>
        <w:rPr>
          <w:b/>
          <w:sz w:val="21"/>
          <w:color w:val="0F2C59"/>
        </w:rPr>
        <w:t>💡 Why Cite in PrivyBrowse-X Defense: </w:t>
      </w:r>
      <w:r>
        <w:rPr>
          <w:sz w:val="21"/>
          <w:color w:val="1F2937"/>
        </w:rPr>
        <w:t>Provides proof for the necessity of prompt_guard.js, which sanitizes webpage text and prevents adversarial prompt overrides before sending context to the server.</w:t>
      </w:r>
    </w:p>
    <w:p>
      <w:pPr>
        <w:pStyle w:val="Heading1"/>
        <w:spacing w:before="360" w:after="140"/>
      </w:pPr>
      <w:r>
        <w:rPr>
          <w:b/>
          <w:sz w:val="34"/>
          <w:color w:val="0F2C59"/>
        </w:rPr>
        <w:t>6. Quick Citation &amp; Mapping Matrix</w:t>
      </w:r>
    </w:p>
    <w:p>
      <w:pPr>
        <w:spacing w:before="60" w:after="120"/>
      </w:pPr>
      <w:r>
        <w:rPr>
          <w:sz w:val="22"/>
          <w:color w:val="374151"/>
        </w:rPr>
        <w:t>Use this matrix as a quick-reference slide for your presentation or technical defense:</w:t>
      </w:r>
    </w:p>
    <w:tbl>
      <w:tblPr>
        <w:tblW w:w="10800" w:type="dxa"/>
        <w:tblBorders>
          <w:top w:val="single" w:sz="6" w:color="D1D5DB"/>
          <w:left w:val="none"/>
          <w:bottom w:val="single" w:sz="8" w:color="9CA3AF"/>
          <w:right w:val="none"/>
          <w:insideH w:val="single" w:sz="4" w:color="E5E7EB"/>
          <w:insideV w:val="none"/>
        </w:tblBorders>
      </w:tblPr>
      <w:tr>
        <w:trPr>
          <w:tblHeader/>
          <w:trHeight w:val="360"/>
        </w:trPr>
        <w:tc>
          <w:tcPr>
            <w:tcW w:w="2600" w:type="dxa"/>
            <w:shd w:val="clear" w:color="auto" w:fill="0F2C59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PrivyBrowse-X Component</w:t>
            </w:r>
          </w:p>
        </w:tc>
        <w:tc>
          <w:tcPr>
            <w:tcW w:w="3600" w:type="dxa"/>
            <w:shd w:val="clear" w:color="auto" w:fill="0F2C59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Landmark Research Paper</w:t>
            </w:r>
          </w:p>
        </w:tc>
        <w:tc>
          <w:tcPr>
            <w:tcW w:w="2000" w:type="dxa"/>
            <w:shd w:val="clear" w:color="auto" w:fill="0F2C59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Venue / Year</w:t>
            </w:r>
          </w:p>
        </w:tc>
        <w:tc>
          <w:tcPr>
            <w:tcW w:w="2600" w:type="dxa"/>
            <w:shd w:val="clear" w:color="auto" w:fill="0F2C59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Primary Academic Justification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Zero-Shot Vision Transformer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OWL-ViT (Minderer et al.)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ECCV 2022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Unlabelled on-device visual entity detection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Sub-20ms Face Detection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BlazeFace (Bazarevsky et al.)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CVPR 2019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Lightweight edge biometric detection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On-Device OCR Localization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Tesseract Engine (Smith)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ICDAR 2007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WASM-based bounding-box character extraction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Autonomous Web Execution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WebVoyager (He et al.)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ACL 2024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Necessity of visual multimodal screen state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Agent Action Planning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Mind2Web (Deng et al.)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NeurIPS 2023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Closed-loop click/type/scroll grounding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Agent Action Safety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WebArena (Zhou et al.)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ICLR 2024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Pre-action risk scoring and permission gating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Fail-Closed Masking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Connecting Pixels to Privacy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ICCV 2017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Opaque #000000 blackout vs reversible blurs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Isolated Offscreen Canvas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ScreenShield (USENIX)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USENIX 2022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Prevention of pre-masking frame capture leaks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Edge-Cloud Split System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Split Computing Survey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IEEE 2022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Partitioning edge perception and cloud reasoning</w:t>
            </w:r>
          </w:p>
        </w:tc>
      </w:tr>
      <w:tr>
        <w:trPr>
          <w:trHeight w:val="320"/>
        </w:trPr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Adversarial Defense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Indirect Prompt Injection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ACM AISec 2023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before="50" w:after="50"/>
            </w:pPr>
            <w:r>
              <w:rPr>
                <w:sz w:val="19"/>
                <w:color w:val="1F2937"/>
              </w:rPr>
              <w:t>Sanitization of untrusted DOM strings in prompts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</w:docDefaults>
  <w:style w:type="paragraph" w:styleId="Normal" w:default="1">
    <w:name w:val="Normal"/>
  </w:style>
  <w:style w:type="character" w:styleId="Hyperlink">
    <w:name w:val="Hyperlink"/>
    <w:rPr>
      <w:color w:val="0066CC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Link1" Type="http://schemas.openxmlformats.org/officeDocument/2006/relationships/hyperlink" Target="https://arxiv.org/abs/2401.13919" TargetMode="External"/><Relationship Id="rIdLink2" Type="http://schemas.openxmlformats.org/officeDocument/2006/relationships/hyperlink" Target="https://aclanthology.org/2024.acl-long.485/" TargetMode="External"/><Relationship Id="rIdLink3" Type="http://schemas.openxmlformats.org/officeDocument/2006/relationships/hyperlink" Target="https://arxiv.org/abs/2306.06070" TargetMode="External"/><Relationship Id="rIdLink4" Type="http://schemas.openxmlformats.org/officeDocument/2006/relationships/hyperlink" Target="https://proceedings.neurips.cc/paper_files/paper/2023/hash/dc6be44d9f67a6857948a2723d9029a6-Abstract-Datasets_and_Benchmarks.html" TargetMode="External"/><Relationship Id="rIdLink5" Type="http://schemas.openxmlformats.org/officeDocument/2006/relationships/hyperlink" Target="https://arxiv.org/abs/2307.13854" TargetMode="External"/><Relationship Id="rIdLink6" Type="http://schemas.openxmlformats.org/officeDocument/2006/relationships/hyperlink" Target="https://openreview.net/forum?id=oKn9EIyEK9" TargetMode="External"/><Relationship Id="rIdLink7" Type="http://schemas.openxmlformats.org/officeDocument/2006/relationships/hyperlink" Target="https://arxiv.org/abs/2401.10935" TargetMode="External"/><Relationship Id="rIdLink8" Type="http://schemas.openxmlformats.org/officeDocument/2006/relationships/hyperlink" Target="https://arxiv.org/abs/2205.06230" TargetMode="External"/><Relationship Id="rIdLink9" Type="http://schemas.openxmlformats.org/officeDocument/2006/relationships/hyperlink" Target="https://link.springer.com/chapter/10.1007/978-3-031-20077-9_42" TargetMode="External"/><Relationship Id="rIdLink10" Type="http://schemas.openxmlformats.org/officeDocument/2006/relationships/hyperlink" Target="https://arxiv.org/abs/1907.05047" TargetMode="External"/><Relationship Id="rIdLink11" Type="http://schemas.openxmlformats.org/officeDocument/2006/relationships/hyperlink" Target="https://arxiv.org/abs/2404.10518" TargetMode="External"/><Relationship Id="rIdLink12" Type="http://schemas.openxmlformats.org/officeDocument/2006/relationships/hyperlink" Target="https://ieeexplore.ieee.org/document/4376991" TargetMode="External"/><Relationship Id="rIdLink13" Type="http://schemas.openxmlformats.org/officeDocument/2006/relationships/hyperlink" Target="https://arxiv.org/abs/1704.00448" TargetMode="External"/><Relationship Id="rIdLink14" Type="http://schemas.openxmlformats.org/officeDocument/2006/relationships/hyperlink" Target="https://openaccess.thecvf.com/content_iccv_2017/html/Orekondy_Connecting_Pixels_to_ICCV_2017_paper.html" TargetMode="External"/><Relationship Id="rIdLink15" Type="http://schemas.openxmlformats.org/officeDocument/2006/relationships/hyperlink" Target="https://www.usenix.org/conference/usenixsecurity22" TargetMode="External"/><Relationship Id="rIdLink16" Type="http://schemas.openxmlformats.org/officeDocument/2006/relationships/hyperlink" Target="https://arxiv.org/abs/2103.05740" TargetMode="External"/><Relationship Id="rIdLink17" Type="http://schemas.openxmlformats.org/officeDocument/2006/relationships/hyperlink" Target="https://ieeexplore.ieee.org/document/9672191" TargetMode="External"/><Relationship Id="rIdLink18" Type="http://schemas.openxmlformats.org/officeDocument/2006/relationships/hyperlink" Target="https://arxiv.org/abs/2302.12173" TargetMode="External"/><Relationship Id="rIdLink19" Type="http://schemas.openxmlformats.org/officeDocument/2006/relationships/hyperlink" Target="https://dl.acm.org/doi/10.1145/3605764.3623982" TargetMode="External"/>
</Relationships>
</file>

<file path=docProps/app.xml><?xml version="1.0" encoding="utf-8"?>
<Properties xmlns="http://schemas.openxmlformats.org/officeDocument/2006/extended-properties">
  <Application>Microsoft Word</Application>
  <DocSecurity>0</DocSecurity>
  <Company>Indian Space Research Organisation (ISRO) - SIH 2024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>
  <dc:title>PrivyBrowse-X: Relevant Research Papers</dc:title>
  <dc:subject>Academic Foundations for ISRO Problem Statement 26171</dc:subject>
  <dc:creator>PrivyBrowse-X Architecture Team</dc:creator>
  <cp:keywords>ISRO, WebGPU, Vision Transformer, OWL-ViT, BlazeFace, PII Redaction, Browser Agent</cp:keywords>
  <dc:description>Academic literature review and paper citations validating the PrivyBrowse-X browser extension architecture.</dc:description>
</cp:coreProperties>
</file>