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100"/>
      </w:pPr>
    </w:p>
    <w:p>
      <w:pPr>
        <w:spacing w:after="130"/>
        <w:jc w:val="center"/>
      </w:pPr>
      <w:r>
        <w:rPr>
          <w:b/>
          <w:bCs/>
          <w:color w:val="1F3864"/>
          <w:sz w:val="44"/>
          <w:szCs w:val="44"/>
        </w:rPr>
        <w:t xml:space="preserve">CATÁLOGO DE CASOS DE USO</w:t>
      </w:r>
    </w:p>
    <w:p>
      <w:pPr>
        <w:spacing w:after="500"/>
        <w:jc w:val="center"/>
      </w:pPr>
      <w:r>
        <w:rPr>
          <w:color w:val="555555"/>
          <w:sz w:val="25"/>
          <w:szCs w:val="25"/>
        </w:rPr>
        <w:t xml:space="preserve">Los 30 casos de uso del modelo, con su actor y su trazabilidad</w:t>
      </w:r>
    </w:p>
    <w:p>
      <w:pPr>
        <w:spacing w:after="640"/>
        <w:jc w:val="center"/>
      </w:pPr>
      <w:r>
        <w:rPr>
          <w:i/>
          <w:iCs/>
          <w:color w:val="777777"/>
          <w:sz w:val="21"/>
          <w:szCs w:val="21"/>
        </w:rPr>
        <w:t xml:space="preserve">Ojo al Gasto</w:t>
      </w:r>
    </w:p>
    <w:p>
      <w:pPr>
        <w:spacing w:after="70"/>
        <w:jc w:val="center"/>
      </w:pPr>
      <w:r>
        <w:rPr>
          <w:b/>
          <w:bCs/>
          <w:sz w:val="21"/>
          <w:szCs w:val="21"/>
        </w:rPr>
        <w:t xml:space="preserve">Proyecto: </w:t>
      </w:r>
      <w:r>
        <w:rPr>
          <w:sz w:val="21"/>
          <w:szCs w:val="21"/>
        </w:rPr>
        <w:t xml:space="preserve">Ojo al Gasto</w:t>
      </w:r>
    </w:p>
    <w:p>
      <w:pPr>
        <w:spacing w:after="70"/>
        <w:jc w:val="center"/>
      </w:pPr>
      <w:r>
        <w:rPr>
          <w:b/>
          <w:bCs/>
          <w:sz w:val="21"/>
          <w:szCs w:val="21"/>
        </w:rPr>
        <w:t xml:space="preserve">Version del modelo: </w:t>
      </w:r>
      <w:r>
        <w:rPr>
          <w:sz w:val="21"/>
          <w:szCs w:val="21"/>
        </w:rPr>
        <w:t xml:space="preserve">8 de septiembre de 2026</w:t>
      </w:r>
    </w:p>
    <w:p>
      <w:pPr>
        <w:spacing w:after="70"/>
        <w:jc w:val="center"/>
      </w:pPr>
      <w:r>
        <w:rPr>
          <w:b/>
          <w:bCs/>
          <w:sz w:val="21"/>
          <w:szCs w:val="21"/>
        </w:rPr>
        <w:t xml:space="preserve">Casos de uso: </w:t>
      </w:r>
      <w:r>
        <w:rPr>
          <w:sz w:val="21"/>
          <w:szCs w:val="21"/>
        </w:rPr>
        <w:t xml:space="preserve">30 (CU-01 a CU-31, sin CU-11)</w:t>
      </w:r>
    </w:p>
    <w:p>
      <w:r>
        <w:br w:type="page"/>
      </w:r>
    </w:p>
    <w:p>
      <w:pPr>
        <w:pStyle w:val="Heading1"/>
        <w:spacing w:after="200" w:before="380"/>
      </w:pPr>
      <w:r>
        <w:rPr>
          <w:b/>
          <w:bCs/>
          <w:color w:val="1F3864"/>
          <w:sz w:val="32"/>
          <w:szCs w:val="32"/>
        </w:rPr>
        <w:t xml:space="preserve">Índice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777777"/>
          <w:sz w:val="18"/>
          <w:szCs w:val="18"/>
        </w:rPr>
        <w:t xml:space="preserve">Para actualizar: clic derecho sobre el índice → Actualizar campos → Actualizar toda la tabla.</w:t>
      </w:r>
    </w:p>
    <w:p>
      <w:r>
        <w:br w:type="page"/>
      </w:r>
    </w:p>
    <w:p>
      <w:pPr>
        <w:spacing w:after="140" w:line="300"/>
        <w:jc w:val="both"/>
      </w:pPr>
      <w:r>
        <w:rPr>
          <w:b/>
          <w:bCs/>
        </w:rPr>
        <w:t xml:space="preserve">Version del modelo de requisitos:</w:t>
      </w:r>
      <w:r>
        <w:t xml:space="preserve"> 8 de septiembre de 2026</w:t>
      </w:r>
    </w:p>
    <w:p>
      <w:pPr>
        <w:pBdr>
          <w:left w:val="single" w:color="BF9000" w:sz="14" w:space="12"/>
        </w:pBdr>
        <w:shd w:fill="FFF2CC" w:color="auto" w:val="clear"/>
        <w:spacing w:after="160" w:before="160" w:line="300"/>
        <w:ind w:left="300" w:right="300"/>
        <w:jc w:val="both"/>
      </w:pPr>
      <w:r>
        <w:rPr>
          <w:b/>
          <w:bCs/>
          <w:sz w:val="21"/>
          <w:szCs w:val="21"/>
        </w:rPr>
        <w:t xml:space="preserve">Por que existe este documento.</w:t>
      </w:r>
      <w:r>
        <w:rPr>
          <w:b/>
          <w:bCs/>
          <w:sz w:val="21"/>
          <w:szCs w:val="21"/>
        </w:rPr>
        <w:t xml:space="preserve"> El modelo de requisitos referencia </w:t>
      </w:r>
      <w:r>
        <w:rPr>
          <w:b/>
          <w:bCs/>
          <w:sz w:val="21"/>
          <w:szCs w:val="21"/>
        </w:rPr>
        <w:t xml:space="preserve">30 casos de uso</w:t>
      </w:r>
      <w:r>
        <w:rPr>
          <w:b/>
          <w:bCs/>
          <w:sz w:val="21"/>
          <w:szCs w:val="21"/>
        </w:rPr>
        <w:t xml:space="preserve"> —CU-01 a CU-31, sin CU-11— pero no define el nombre de ninguno: solo aparecen como identificadores dentro de la trazabilidad. Sin un catalogo, </w:t>
      </w:r>
      <w:r>
        <w:rPr>
          <w:rFonts w:ascii="Consolas" w:cs="Consolas" w:eastAsia="Consolas" w:hAnsi="Consolas"/>
          <w:b/>
          <w:bCs/>
          <w:sz w:val="21"/>
          <w:szCs w:val="21"/>
        </w:rPr>
        <w:t xml:space="preserve">CU-27</w:t>
      </w:r>
      <w:r>
        <w:rPr>
          <w:b/>
          <w:bCs/>
          <w:sz w:val="21"/>
          <w:szCs w:val="21"/>
        </w:rPr>
        <w:t xml:space="preserve"> no significa nada para quien lea el documento, y el diagrama es el unico lugar donde se veria el nombre.</w:t>
      </w:r>
    </w:p>
    <w:p>
      <w:pPr>
        <w:spacing w:after="140" w:line="300"/>
        <w:jc w:val="both"/>
      </w:pPr>
      <w:r>
        <w:rPr>
          <w:b/>
          <w:bCs/>
        </w:rPr>
        <w:t xml:space="preserve">Las relaciones de este catalogo estan calculadas</w:t>
      </w:r>
      <w:r>
        <w:t xml:space="preserve"> desde la columna Fuente de la tabla de requisitos funcionales y desde la trazabilidad declarada en cada historia. No se transcribieron.</w:t>
      </w:r>
    </w:p>
    <w:p>
      <w:pPr>
        <w:spacing w:after="140" w:line="300"/>
        <w:jc w:val="both"/>
      </w:pPr>
      <w:r>
        <w:rPr>
          <w:b/>
          <w:bCs/>
        </w:rPr>
        <w:t xml:space="preserve">Los nombres, en cambio, son una propuesta.</w:t>
      </w:r>
      <w:r>
        <w:t xml:space="preserve"> Se dedujeron del requisito que cada caso de uso realiza. Los marcados con ⚠ necesitan que el equipo los confirme, por las razones de la seccion 3.</w:t>
      </w:r>
    </w:p>
    <w:p>
      <w:pPr>
        <w:pStyle w:val="Heading2"/>
        <w:spacing w:after="140" w:before="300"/>
      </w:pPr>
      <w:r>
        <w:rPr>
          <w:b/>
          <w:bCs/>
          <w:color w:val="1F3864"/>
          <w:sz w:val="26"/>
          <w:szCs w:val="26"/>
        </w:rPr>
        <w:t xml:space="preserve">1. Catalogo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80"/>
        <w:gridCol w:w="3660"/>
        <w:gridCol w:w="1831"/>
        <w:gridCol w:w="1831"/>
        <w:gridCol w:w="1158"/>
      </w:tblGrid>
      <w:tr>
        <w:trPr>
          <w:tblHeader/>
        </w:trPr>
        <w:tc>
          <w:tcPr>
            <w:tcW w:type="dxa" w:w="880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CU</w:t>
            </w:r>
          </w:p>
        </w:tc>
        <w:tc>
          <w:tcPr>
            <w:tcW w:type="dxa" w:w="3660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Nombre</w:t>
            </w:r>
          </w:p>
        </w:tc>
        <w:tc>
          <w:tcPr>
            <w:tcW w:type="dxa" w:w="1831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Actor</w:t>
            </w:r>
          </w:p>
        </w:tc>
        <w:tc>
          <w:tcPr>
            <w:tcW w:type="dxa" w:w="1831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Realiza</w:t>
            </w:r>
          </w:p>
        </w:tc>
        <w:tc>
          <w:tcPr>
            <w:tcW w:type="dxa" w:w="1158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Lo invocan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CU-01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Registrar cuenta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nuevo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RF-01</w:t>
            </w:r>
          </w:p>
        </w:tc>
        <w:tc>
          <w:tcPr>
            <w:tcW w:type="dxa" w:w="11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HU-01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CU-02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Iniciar sesion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registrado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RF-02</w:t>
            </w:r>
          </w:p>
        </w:tc>
        <w:tc>
          <w:tcPr>
            <w:tcW w:type="dxa" w:w="11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HU-02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CU-03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Gestionar credenciales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registrado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RF-03, RF-04</w:t>
            </w:r>
          </w:p>
        </w:tc>
        <w:tc>
          <w:tcPr>
            <w:tcW w:type="dxa" w:w="11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HU-03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CU-04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Eliminar cuenta y datos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autenticado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RF-05</w:t>
            </w:r>
          </w:p>
        </w:tc>
        <w:tc>
          <w:tcPr>
            <w:tcW w:type="dxa" w:w="11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HU-04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CU-05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Registrar suscripcion manualmente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autenticado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RF-06, RF-09, RF-12</w:t>
            </w:r>
          </w:p>
        </w:tc>
        <w:tc>
          <w:tcPr>
            <w:tcW w:type="dxa" w:w="11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HU-05, HU-07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CU-06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Editar suscripcion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autenticado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RF-07</w:t>
            </w:r>
          </w:p>
        </w:tc>
        <w:tc>
          <w:tcPr>
            <w:tcW w:type="dxa" w:w="11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HU-06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CU-07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Cancelar o eliminar suscripcion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autenticado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RF-08, RF-21</w:t>
            </w:r>
          </w:p>
        </w:tc>
        <w:tc>
          <w:tcPr>
            <w:tcW w:type="dxa" w:w="11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HU-20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CU-08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Visualizar panel de suscripciones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autenticado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RF-09</w:t>
            </w:r>
          </w:p>
        </w:tc>
        <w:tc>
          <w:tcPr>
            <w:tcW w:type="dxa" w:w="11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HU-08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CU-09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Visualizar calendario de pagos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autenticado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RF-10</w:t>
            </w:r>
          </w:p>
        </w:tc>
        <w:tc>
          <w:tcPr>
            <w:tcW w:type="dxa" w:w="11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HU-09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CU-10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Importar suscripciones desde CSV o PDF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autenticado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RF-11, RF-14</w:t>
            </w:r>
          </w:p>
        </w:tc>
        <w:tc>
          <w:tcPr>
            <w:tcW w:type="dxa" w:w="11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HU-11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CU-12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Vincular cuenta de correo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autenticado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RF-14</w:t>
            </w:r>
          </w:p>
        </w:tc>
        <w:tc>
          <w:tcPr>
            <w:tcW w:type="dxa" w:w="11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HU-12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CU-13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Confirmar cobros candidatos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autenticado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RF-14</w:t>
            </w:r>
          </w:p>
        </w:tc>
        <w:tc>
          <w:tcPr>
            <w:tcW w:type="dxa" w:w="11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HU-12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CU-14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Vincular conector de tiempo de uso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autenticado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RF-15, RF-16</w:t>
            </w:r>
          </w:p>
        </w:tc>
        <w:tc>
          <w:tcPr>
            <w:tcW w:type="dxa" w:w="11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HU-13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CU-15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Chatear con el asistente financiero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Premium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RF-24</w:t>
            </w:r>
          </w:p>
        </w:tc>
        <w:tc>
          <w:tcPr>
            <w:tcW w:type="dxa" w:w="11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HU-23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CU-16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Solicitar recomendacion ⚠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Premium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RF-24, RF-25</w:t>
            </w:r>
          </w:p>
        </w:tc>
        <w:tc>
          <w:tcPr>
            <w:tcW w:type="dxa" w:w="11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HU-24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CU-17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Explicar una recomendacion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Premium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RF-25</w:t>
            </w:r>
          </w:p>
        </w:tc>
        <w:tc>
          <w:tcPr>
            <w:tcW w:type="dxa" w:w="11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HU-24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CU-18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Configurar alertas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autenticado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RF-18</w:t>
            </w:r>
          </w:p>
        </w:tc>
        <w:tc>
          <w:tcPr>
            <w:tcW w:type="dxa" w:w="11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HU-16, HU-17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CU-19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Consultar guia de cancelacion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autenticado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RF-20</w:t>
            </w:r>
          </w:p>
        </w:tc>
        <w:tc>
          <w:tcPr>
            <w:tcW w:type="dxa" w:w="11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HU-19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CU-20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Visualizar historial de ahorro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autenticado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RF-08, RF-21</w:t>
            </w:r>
          </w:p>
        </w:tc>
        <w:tc>
          <w:tcPr>
            <w:tcW w:type="dxa" w:w="11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HU-20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CU-21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Exportar historial de gastos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autenticado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RF-22</w:t>
            </w:r>
          </w:p>
        </w:tc>
        <w:tc>
          <w:tcPr>
            <w:tcW w:type="dxa" w:w="11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HU-21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CU-22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Contratar y gestionar el plan Premium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autenticado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RF-23</w:t>
            </w:r>
          </w:p>
        </w:tc>
        <w:tc>
          <w:tcPr>
            <w:tcW w:type="dxa" w:w="11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HU-22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CU-23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Registrar uso manual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autenticado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RF-15, RF-16</w:t>
            </w:r>
          </w:p>
        </w:tc>
        <w:tc>
          <w:tcPr>
            <w:tcW w:type="dxa" w:w="11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HU-13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CU-24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Transitar estado de la suscripcion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Temporizador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RF-13</w:t>
            </w:r>
          </w:p>
        </w:tc>
        <w:tc>
          <w:tcPr>
            <w:tcW w:type="dxa" w:w="11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HU-18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CU-25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Definir presupuesto ideal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autenticado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RF-19</w:t>
            </w:r>
          </w:p>
        </w:tc>
        <w:tc>
          <w:tcPr>
            <w:tcW w:type="dxa" w:w="11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HU-10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CU-26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Marcar suscripcion por confirmar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Temporizador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RF-13</w:t>
            </w:r>
          </w:p>
        </w:tc>
        <w:tc>
          <w:tcPr>
            <w:tcW w:type="dxa" w:w="11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HU-18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CU-27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Detectar suscripcion fantasma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Temporizador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RF-13</w:t>
            </w:r>
          </w:p>
        </w:tc>
        <w:tc>
          <w:tcPr>
            <w:tcW w:type="dxa" w:w="11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HU-14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CU-28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Cancelar por inactividad extendida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Temporizador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RF-13</w:t>
            </w:r>
          </w:p>
        </w:tc>
        <w:tc>
          <w:tcPr>
            <w:tcW w:type="dxa" w:w="11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HU-18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CU-29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Reactivar suscripcion automaticamente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Temporizador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RF-13</w:t>
            </w:r>
          </w:p>
        </w:tc>
        <w:tc>
          <w:tcPr>
            <w:tcW w:type="dxa" w:w="11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HU-18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CU-30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Detectar anomalias de cobro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Temporizador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RF-17</w:t>
            </w:r>
          </w:p>
        </w:tc>
        <w:tc>
          <w:tcPr>
            <w:tcW w:type="dxa" w:w="11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HU-15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CU-31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Transitar post-trial a estado activo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Temporizador</w:t>
            </w:r>
          </w:p>
        </w:tc>
        <w:tc>
          <w:tcPr>
            <w:tcW w:type="dxa" w:w="183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RF-13</w:t>
            </w:r>
          </w:p>
        </w:tc>
        <w:tc>
          <w:tcPr>
            <w:tcW w:type="dxa" w:w="115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HU-18</w:t>
            </w:r>
          </w:p>
        </w:tc>
      </w:tr>
    </w:tbl>
    <w:p>
      <w:pPr>
        <w:spacing w:after="200"/>
      </w:pPr>
    </w:p>
    <w:p>
      <w:pPr>
        <w:pStyle w:val="Heading2"/>
        <w:spacing w:after="140" w:before="300"/>
      </w:pPr>
      <w:r>
        <w:rPr>
          <w:b/>
          <w:bCs/>
          <w:color w:val="1F3864"/>
          <w:sz w:val="26"/>
          <w:szCs w:val="26"/>
        </w:rPr>
        <w:t xml:space="preserve">2. Casos de uso por actor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308"/>
        <w:gridCol w:w="8052"/>
      </w:tblGrid>
      <w:tr>
        <w:trPr>
          <w:tblHeader/>
        </w:trPr>
        <w:tc>
          <w:tcPr>
            <w:tcW w:type="dxa" w:w="1308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Actor</w:t>
            </w:r>
          </w:p>
        </w:tc>
        <w:tc>
          <w:tcPr>
            <w:tcW w:type="dxa" w:w="8052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Casos de uso</w:t>
            </w:r>
          </w:p>
        </w:tc>
      </w:tr>
      <w:tr>
        <w:trPr>
          <w:tblHeader w:val="false"/>
        </w:trPr>
        <w:tc>
          <w:tcPr>
            <w:tcW w:type="dxa" w:w="13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nuevo</w:t>
            </w:r>
          </w:p>
        </w:tc>
        <w:tc>
          <w:tcPr>
            <w:tcW w:type="dxa" w:w="80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CU-01</w:t>
            </w:r>
          </w:p>
        </w:tc>
      </w:tr>
      <w:tr>
        <w:trPr>
          <w:tblHeader w:val="false"/>
        </w:trPr>
        <w:tc>
          <w:tcPr>
            <w:tcW w:type="dxa" w:w="13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registrado</w:t>
            </w:r>
          </w:p>
        </w:tc>
        <w:tc>
          <w:tcPr>
            <w:tcW w:type="dxa" w:w="80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CU-02, CU-03</w:t>
            </w:r>
          </w:p>
        </w:tc>
      </w:tr>
      <w:tr>
        <w:trPr>
          <w:tblHeader w:val="false"/>
        </w:trPr>
        <w:tc>
          <w:tcPr>
            <w:tcW w:type="dxa" w:w="13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autenticado</w:t>
            </w:r>
          </w:p>
        </w:tc>
        <w:tc>
          <w:tcPr>
            <w:tcW w:type="dxa" w:w="80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CU-04, CU-05, CU-06, CU-07, CU-08, CU-09, CU-10, CU-12, CU-13, CU-14, CU-18, CU-19, CU-20, CU-21, CU-22, CU-23, CU-25</w:t>
            </w:r>
          </w:p>
        </w:tc>
      </w:tr>
      <w:tr>
        <w:trPr>
          <w:tblHeader w:val="false"/>
        </w:trPr>
        <w:tc>
          <w:tcPr>
            <w:tcW w:type="dxa" w:w="13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Premium</w:t>
            </w:r>
          </w:p>
        </w:tc>
        <w:tc>
          <w:tcPr>
            <w:tcW w:type="dxa" w:w="80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CU-15, CU-16, CU-17</w:t>
            </w:r>
          </w:p>
        </w:tc>
      </w:tr>
      <w:tr>
        <w:trPr>
          <w:tblHeader w:val="false"/>
        </w:trPr>
        <w:tc>
          <w:tcPr>
            <w:tcW w:type="dxa" w:w="13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Temporizador</w:t>
            </w:r>
          </w:p>
        </w:tc>
        <w:tc>
          <w:tcPr>
            <w:tcW w:type="dxa" w:w="80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CU-24, CU-26, CU-27, CU-28, CU-29, CU-30, CU-31</w:t>
            </w:r>
          </w:p>
        </w:tc>
      </w:tr>
    </w:tbl>
    <w:p>
      <w:pPr>
        <w:spacing w:after="200"/>
      </w:pPr>
    </w:p>
    <w:p>
      <w:pPr>
        <w:spacing w:after="140" w:line="300"/>
        <w:jc w:val="both"/>
      </w:pPr>
      <w:r>
        <w:t xml:space="preserve">Los actores humanos se generalizan: </w:t>
      </w:r>
      <w:r>
        <w:rPr>
          <w:b/>
          <w:bCs/>
        </w:rPr>
        <w:t xml:space="preserve">Usuario autenticado</w:t>
      </w:r>
      <w:r>
        <w:t xml:space="preserve"> es un Usuario registrado, y </w:t>
      </w:r>
      <w:r>
        <w:rPr>
          <w:b/>
          <w:bCs/>
        </w:rPr>
        <w:t xml:space="preserve">Usuario Premium</w:t>
      </w:r>
      <w:r>
        <w:t xml:space="preserve"> es un Usuario autenticado. Cada uno hereda los casos de uso del anterior.</w:t>
      </w:r>
    </w:p>
    <w:p>
      <w:pPr>
        <w:pStyle w:val="Heading2"/>
        <w:spacing w:after="140" w:before="300"/>
      </w:pPr>
      <w:r>
        <w:rPr>
          <w:b/>
          <w:bCs/>
          <w:color w:val="1F3864"/>
          <w:sz w:val="26"/>
          <w:szCs w:val="26"/>
        </w:rPr>
        <w:t xml:space="preserve">3. De donde salen los nombres</w:t>
      </w:r>
    </w:p>
    <w:p>
      <w:pPr>
        <w:pStyle w:val="Heading3"/>
        <w:spacing w:after="110" w:before="240"/>
      </w:pPr>
      <w:r>
        <w:rPr>
          <w:b/>
          <w:bCs/>
          <w:color w:val="2E5395"/>
          <w:sz w:val="23"/>
          <w:szCs w:val="23"/>
        </w:rPr>
        <w:t xml:space="preserve">3.1 Los seis del ciclo de vida - RESUELTO</w:t>
      </w:r>
    </w:p>
    <w:p>
      <w:pPr>
        <w:spacing w:after="140" w:line="300"/>
        <w:jc w:val="both"/>
      </w:pPr>
      <w:r>
        <w:rPr>
          <w:b/>
          <w:bCs/>
        </w:rPr>
        <w:t xml:space="preserve">CU-24, CU-26, CU-27, CU-28, CU-29 y CU-31</w:t>
      </w:r>
      <w:r>
        <w:t xml:space="preserve"> nacen todos de RF-13, que especifica la maquina de estados completa. El documento los enumera juntos sin distinguirlos, de modo que hubo que determinar cual era cual.</w:t>
      </w:r>
    </w:p>
    <w:p>
      <w:pPr>
        <w:spacing w:after="140" w:line="300"/>
        <w:jc w:val="both"/>
      </w:pPr>
      <w:r>
        <w:rPr>
          <w:b/>
          <w:bCs/>
        </w:rPr>
        <w:t xml:space="preserve">CU-27 quedo fijado por evidencia</w:t>
      </w:r>
      <w:r>
        <w:t xml:space="preserve">: HU-14 habla de los servicios sin usar en 45 dias y declara CU-27 junto a la regla RN-REC-002. Es la deteccion de suscripcion fantasma.</w:t>
      </w:r>
    </w:p>
    <w:p>
      <w:pPr>
        <w:spacing w:after="140" w:line="300"/>
        <w:jc w:val="both"/>
      </w:pPr>
      <w:r>
        <w:rPr>
          <w:b/>
          <w:bCs/>
        </w:rPr>
        <w:t xml:space="preserve">Los otros cinco los decidio el equipo el 8 de septiembre</w:t>
      </w:r>
      <w:r>
        <w:t xml:space="preserve">, siguiendo el orden del ciclo: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80"/>
        <w:gridCol w:w="3973"/>
        <w:gridCol w:w="4507"/>
      </w:tblGrid>
      <w:tr>
        <w:trPr>
          <w:tblHeader/>
        </w:trPr>
        <w:tc>
          <w:tcPr>
            <w:tcW w:type="dxa" w:w="880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CU</w:t>
            </w:r>
          </w:p>
        </w:tc>
        <w:tc>
          <w:tcPr>
            <w:tcW w:type="dxa" w:w="3973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Nombre</w:t>
            </w:r>
          </w:p>
        </w:tc>
        <w:tc>
          <w:tcPr>
            <w:tcW w:type="dxa" w:w="4507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Momento del ciclo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CU-24</w:t>
            </w:r>
          </w:p>
        </w:tc>
        <w:tc>
          <w:tcPr>
            <w:tcW w:type="dxa" w:w="39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Transitar estado de la suscripcion</w:t>
            </w:r>
          </w:p>
        </w:tc>
        <w:tc>
          <w:tcPr>
            <w:tcW w:type="dxa" w:w="45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Caso general; los demas lo extienden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CU-31</w:t>
            </w:r>
          </w:p>
        </w:tc>
        <w:tc>
          <w:tcPr>
            <w:tcW w:type="dxa" w:w="39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Transitar post-trial a estado activo</w:t>
            </w:r>
          </w:p>
        </w:tc>
        <w:tc>
          <w:tcPr>
            <w:tcW w:type="dxa" w:w="45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Termina la prueba gratuita sin cancelacion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CU-27</w:t>
            </w:r>
          </w:p>
        </w:tc>
        <w:tc>
          <w:tcPr>
            <w:tcW w:type="dxa" w:w="39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Detectar suscripcion fantasma</w:t>
            </w:r>
          </w:p>
        </w:tc>
        <w:tc>
          <w:tcPr>
            <w:tcW w:type="dxa" w:w="45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45 dias sin uso registrado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CU-26</w:t>
            </w:r>
          </w:p>
        </w:tc>
        <w:tc>
          <w:tcPr>
            <w:tcW w:type="dxa" w:w="39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Marcar suscripcion por confirmar</w:t>
            </w:r>
          </w:p>
        </w:tc>
        <w:tc>
          <w:tcPr>
            <w:tcW w:type="dxa" w:w="45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Periodo sin cobros detectados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CU-28</w:t>
            </w:r>
          </w:p>
        </w:tc>
        <w:tc>
          <w:tcPr>
            <w:tcW w:type="dxa" w:w="39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Cancelar por inactividad extendida</w:t>
            </w:r>
          </w:p>
        </w:tc>
        <w:tc>
          <w:tcPr>
            <w:tcW w:type="dxa" w:w="45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Periodo adicional sin respuesta ni cargos</w:t>
            </w:r>
          </w:p>
        </w:tc>
      </w:tr>
      <w:tr>
        <w:trPr>
          <w:tblHeader w:val="false"/>
        </w:trPr>
        <w:tc>
          <w:tcPr>
            <w:tcW w:type="dxa" w:w="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CU-29</w:t>
            </w:r>
          </w:p>
        </w:tc>
        <w:tc>
          <w:tcPr>
            <w:tcW w:type="dxa" w:w="39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Reactivar suscripcion automaticamente</w:t>
            </w:r>
          </w:p>
        </w:tc>
        <w:tc>
          <w:tcPr>
            <w:tcW w:type="dxa" w:w="45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Aparece un cobro nuevo del mismo comercio</w:t>
            </w:r>
          </w:p>
        </w:tc>
      </w:tr>
    </w:tbl>
    <w:p>
      <w:pPr>
        <w:spacing w:after="200"/>
      </w:pPr>
    </w:p>
    <w:p>
      <w:pPr>
        <w:spacing w:after="140" w:line="300"/>
        <w:jc w:val="both"/>
      </w:pPr>
      <w:r>
        <w:t xml:space="preserve">En la misma decision, </w:t>
      </w:r>
      <w:r>
        <w:rPr>
          <w:b/>
          <w:bCs/>
        </w:rPr>
        <w:t xml:space="preserve">HU-18 paso a declarar las cinco transiciones</w:t>
      </w:r>
      <w:r>
        <w:t xml:space="preserve"> que le corresponden -CU-24, CU-26, CU-28, CU-29 y CU-31- en vez de tres. Su historia ya decia que gestiona los estados en plural, y CU-26 y CU-29 no los invocaba ninguna historia.</w:t>
      </w:r>
    </w:p>
    <w:p>
      <w:pPr>
        <w:pStyle w:val="Heading3"/>
        <w:spacing w:after="110" w:before="240"/>
      </w:pPr>
      <w:r>
        <w:rPr>
          <w:b/>
          <w:bCs/>
          <w:color w:val="2E5395"/>
          <w:sz w:val="23"/>
          <w:szCs w:val="23"/>
        </w:rPr>
        <w:t xml:space="preserve">3.2 CU-12 y CU-13 - RESUELTO</w:t>
      </w:r>
    </w:p>
    <w:p>
      <w:pPr>
        <w:spacing w:after="140" w:line="300"/>
        <w:jc w:val="both"/>
      </w:pPr>
      <w:r>
        <w:t xml:space="preserve">Ambos nacen de RF-14, que cubre a la vez conectar la fuente de datos y confirmar los cobros que se detectan. El equipo fijo el reparto el 8 de septiembre: </w:t>
      </w:r>
      <w:r>
        <w:rPr>
          <w:b/>
          <w:bCs/>
        </w:rPr>
        <w:t xml:space="preserve">CU-12 es vincular la cuenta de correo</w:t>
      </w:r>
      <w:r>
        <w:t xml:space="preserve"> y </w:t>
      </w:r>
      <w:r>
        <w:rPr>
          <w:b/>
          <w:bCs/>
        </w:rPr>
        <w:t xml:space="preserve">CU-13 es confirmar los cobros candidatos</w:t>
      </w:r>
      <w:r>
        <w:t xml:space="preserve">. Es coherente con HU-12, que declara los dos juntos y habla de vincular el correo para que el sistema detecte cobros.</w:t>
      </w:r>
    </w:p>
    <w:p>
      <w:pPr>
        <w:pStyle w:val="Heading3"/>
        <w:spacing w:after="110" w:before="240"/>
      </w:pPr>
      <w:r>
        <w:rPr>
          <w:b/>
          <w:bCs/>
          <w:color w:val="2E5395"/>
          <w:sz w:val="23"/>
          <w:szCs w:val="23"/>
        </w:rPr>
        <w:t xml:space="preserve">3.3 CU-16, el unico que queda</w:t>
      </w:r>
    </w:p>
    <w:p>
      <w:pPr>
        <w:spacing w:after="140" w:line="300"/>
        <w:jc w:val="both"/>
      </w:pPr>
      <w:r>
        <w:t xml:space="preserve">Sale de RF-24 y RF-25 a la vez, igual que CU-15 y CU-17. Se asumio que es el paso intermedio entre chatear con el asistente y recibir la explicacion: </w:t>
      </w:r>
      <w:r>
        <w:rPr>
          <w:b/>
          <w:bCs/>
        </w:rPr>
        <w:t xml:space="preserve">solicitar la recomendacion</w:t>
      </w:r>
      <w:r>
        <w:t xml:space="preserve">.</w:t>
      </w:r>
    </w:p>
    <w:p>
      <w:pPr>
        <w:spacing w:after="140" w:line="300"/>
        <w:jc w:val="both"/>
      </w:pPr>
      <w:r>
        <w:t xml:space="preserve">No bloquea nada. Si el equipo lo recuerda de otra forma, es cambiar una celda.</w:t>
      </w:r>
    </w:p>
    <w:p>
      <w:pPr>
        <w:pStyle w:val="Heading2"/>
        <w:spacing w:after="140" w:before="300"/>
      </w:pPr>
      <w:r>
        <w:rPr>
          <w:b/>
          <w:bCs/>
          <w:color w:val="1F3864"/>
          <w:sz w:val="26"/>
          <w:szCs w:val="26"/>
        </w:rPr>
        <w:t xml:space="preserve">4. Lo que este catalogo deja a la vista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37"/>
        <w:gridCol w:w="7323"/>
      </w:tblGrid>
      <w:tr>
        <w:trPr>
          <w:tblHeader/>
        </w:trPr>
        <w:tc>
          <w:tcPr>
            <w:tcW w:type="dxa" w:w="2037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Hallazgo</w:t>
            </w:r>
          </w:p>
        </w:tc>
        <w:tc>
          <w:tcPr>
            <w:tcW w:type="dxa" w:w="7323"/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203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CU-11 no existe</w:t>
            </w:r>
          </w:p>
        </w:tc>
        <w:tc>
          <w:tcPr>
            <w:tcW w:type="dxa" w:w="73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La numeracion salta de CU-10 a CU-12. Conviene dejarlo dicho para que nadie lo busque</w:t>
            </w:r>
          </w:p>
        </w:tc>
      </w:tr>
      <w:tr>
        <w:trPr>
          <w:tblHeader w:val="false"/>
        </w:trPr>
        <w:tc>
          <w:tcPr>
            <w:tcW w:type="dxa" w:w="203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RF-13 concentra seis casos de uso</w:t>
            </w:r>
          </w:p>
        </w:tc>
        <w:tc>
          <w:tcPr>
            <w:tcW w:type="dxa" w:w="73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Es el requisito de la maquina de estados. Que un solo requisito gobierne seis casos de uso confirma que es el mas critico del sistema</w:t>
            </w:r>
          </w:p>
        </w:tc>
      </w:tr>
      <w:tr>
        <w:trPr>
          <w:tblHeader w:val="false"/>
        </w:trPr>
        <w:tc>
          <w:tcPr>
            <w:tcW w:type="dxa" w:w="203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RF-03 y RF-12 no declaran caso de uso</w:t>
            </w:r>
          </w:p>
        </w:tc>
        <w:tc>
          <w:tcPr>
            <w:tcW w:type="dxa" w:w="73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RF-03 figura como «Derivado» y RF-12 como «Derivado (gap: falta CU propio)». El propio documento reconoce el segundo</w:t>
            </w:r>
          </w:p>
        </w:tc>
      </w:tr>
    </w:tbl>
    <w:p>
      <w:pPr>
        <w:spacing w:after="200"/>
      </w:pPr>
    </w:p>
    <w:p>
      <w:pPr>
        <w:pStyle w:val="Heading2"/>
        <w:spacing w:after="140" w:before="300"/>
      </w:pPr>
      <w:r>
        <w:rPr>
          <w:b/>
          <w:bCs/>
          <w:color w:val="1F3864"/>
          <w:sz w:val="26"/>
          <w:szCs w:val="26"/>
        </w:rPr>
        <w:t xml:space="preserve">5. Como mantenerlo</w:t>
      </w:r>
    </w:p>
    <w:p>
      <w:pPr>
        <w:spacing w:after="140" w:line="300"/>
        <w:jc w:val="both"/>
      </w:pPr>
      <w:r>
        <w:t xml:space="preserve">Las cuatro ultimas columnas de la seccion 1 se regeneran desde el documento de requisitos. Lo unico que se edita a mano son el nombre y el actor. Si manana cambia la trazabilidad de una historia, este catalogo la recoge sin que nadie lo retoque.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CATÁLOGO DE CASOS DE USO</dc:title>
  <dc:creator>Equipo de proyecto</dc:creator>
  <dc:description>Los 30 casos de uso del modelo, con su actor y su trazabilidad</dc:description>
  <cp:lastModifiedBy>Un-named</cp:lastModifiedBy>
  <cp:revision>1</cp:revision>
  <dcterms:created xsi:type="dcterms:W3CDTF">2026-09-08T23:39:48.648Z</dcterms:created>
  <dcterms:modified xsi:type="dcterms:W3CDTF">2026-09-08T23:39:48.650Z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