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Conflictos y decisiones — Ojo al Gasto</w:t>
      </w:r>
    </w:p>
    <w:bookmarkStart w:id="11" w:name="conflictos-y-decisiones-pendientes"/>
    <w:p>
      <w:pPr>
        <w:pStyle w:val="Heading1"/>
      </w:pPr>
      <w:r>
        <w:t xml:space="preserve">Conflictos y decisiones pendientes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Ojo al Gasto ·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 de septiembre de 2026</w:t>
      </w:r>
    </w:p>
    <w:p>
      <w:r>
        <w:pict>
          <v:rect style="width:0;height:1.5pt" o:hralign="center" o:hrstd="t" o:hr="t"/>
        </w:pict>
      </w:r>
    </w:p>
    <w:bookmarkStart w:id="9" w:name="para-qué-sirve-este-documento"/>
    <w:p>
      <w:pPr>
        <w:pStyle w:val="Heading2"/>
      </w:pPr>
      <w:r>
        <w:t xml:space="preserve">Para qué sirve este documento</w:t>
      </w:r>
    </w:p>
    <w:p>
      <w:pPr>
        <w:pStyle w:val="FirstParagraph"/>
      </w:pPr>
      <w:r>
        <w:t xml:space="preserve">El proyecto tiene hoy dos cuerpos de documentación elaborados en paralelo: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Modelado de requisitos</w:t>
            </w:r>
          </w:p>
        </w:tc>
        <w:tc>
          <w:tcPr/>
          <w:p>
            <w:pPr>
              <w:pStyle w:val="Compact"/>
            </w:pPr>
            <w:r>
              <w:t xml:space="preserve">Historias de usuario, requisitos funcionales y no funcionales, y cinco diagramas UML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 de arquitectura</w:t>
            </w:r>
          </w:p>
        </w:tc>
        <w:tc>
          <w:tcPr/>
          <w:p>
            <w:pPr>
              <w:pStyle w:val="Compact"/>
            </w:pPr>
            <w:r>
              <w:t xml:space="preserve">Seis ADRs, modelo de datos, diagramas de componentes y despliegue, modelo de casos de uso, informe de validación de la problemática</w:t>
            </w:r>
          </w:p>
        </w:tc>
      </w:tr>
    </w:tbl>
    <w:p>
      <w:pPr>
        <w:pStyle w:val="BodyText"/>
      </w:pPr>
      <w:r>
        <w:t xml:space="preserve">Ambos son sólidos por separado, pero</w:t>
      </w:r>
      <w:r>
        <w:t xml:space="preserve"> </w:t>
      </w:r>
      <w:r>
        <w:rPr>
          <w:b/>
          <w:bCs/>
        </w:rPr>
        <w:t xml:space="preserve">se contradicen en cuatro puntos que bloquean el trabajo de otros</w:t>
      </w:r>
      <w:r>
        <w:t xml:space="preserve">. Este documento los enumera, explica qué está en juego en cada uno y propone una resolución.</w:t>
      </w:r>
    </w:p>
    <w:p>
      <w:pPr>
        <w:pStyle w:val="BlockText"/>
      </w:pPr>
      <w:r>
        <w:t xml:space="preserve">No es un documento para leer y archivar. Está pensado para resolverse en</w:t>
      </w:r>
      <w:r>
        <w:t xml:space="preserve"> </w:t>
      </w:r>
      <w:r>
        <w:rPr>
          <w:b/>
          <w:bCs/>
        </w:rPr>
        <w:t xml:space="preserve">una sola reunión de equipo</w:t>
      </w:r>
      <w:r>
        <w:t xml:space="preserve">, dejando cada decisión anotada en el acta del final.</w:t>
      </w:r>
    </w:p>
    <w:p>
      <w:r>
        <w:pict>
          <v:rect style="width:0;height:1.5pt" o:hralign="center" o:hrstd="t" o:hr="t"/>
        </w:pict>
      </w:r>
    </w:p>
    <w:bookmarkEnd w:id="9"/>
    <w:bookmarkStart w:id="10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Conflicto</w:t>
            </w:r>
          </w:p>
        </w:tc>
        <w:tc>
          <w:tcPr/>
          <w:p>
            <w:pPr>
              <w:pStyle w:val="Compact"/>
            </w:pPr>
            <w:r>
              <w:t xml:space="preserve">Gravedad</w:t>
            </w:r>
          </w:p>
        </w:tc>
        <w:tc>
          <w:tcPr/>
          <w:p>
            <w:pPr>
              <w:pStyle w:val="Compact"/>
            </w:pPr>
            <w:r>
              <w:t xml:space="preserve">Bloquea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Dos numeraciones de casos de uso incompatibles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t xml:space="preserve">Todo el informe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Sincronización bancaria: requisito vs. viabilidad económica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t xml:space="preserve">Conectores, 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¿Usuario individual u hogar?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  <w:tc>
          <w:tcPr/>
          <w:p>
            <w:pPr>
              <w:pStyle w:val="Compact"/>
            </w:pPr>
            <w:r>
              <w:t xml:space="preserve">Modelo de datos,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Plan Premium y asistente con IA sin modelar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Modelo de datos,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C-05</w:t>
            </w:r>
          </w:p>
        </w:tc>
        <w:tc>
          <w:tcPr/>
          <w:p>
            <w:pPr>
              <w:pStyle w:val="Compact"/>
            </w:pPr>
            <w:r>
              <w:t xml:space="preserve">Nombre del proyecto inconsistente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Portadas de todos los 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C-06</w:t>
            </w:r>
          </w:p>
        </w:tc>
        <w:tc>
          <w:tcPr/>
          <w:p>
            <w:pPr>
              <w:pStyle w:val="Compact"/>
            </w:pPr>
            <w:r>
              <w:t xml:space="preserve">Requisitos no funcionales no verificables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Defensa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C-07</w:t>
            </w:r>
          </w:p>
        </w:tc>
        <w:tc>
          <w:tcPr/>
          <w:p>
            <w:pPr>
              <w:pStyle w:val="Compact"/>
            </w:pPr>
            <w:r>
              <w:t xml:space="preserve">Casos de uso que en realidad son restricciones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Modelo de 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C-08</w:t>
            </w:r>
          </w:p>
        </w:tc>
        <w:tc>
          <w:tcPr/>
          <w:p>
            <w:pPr>
              <w:pStyle w:val="Compact"/>
            </w:pPr>
            <w:r>
              <w:t xml:space="preserve">Requisitos funcionales incompletos o cruzados</w:t>
            </w:r>
          </w:p>
        </w:tc>
        <w:tc>
          <w:tcPr/>
          <w:p>
            <w:pPr>
              <w:pStyle w:val="Compact"/>
            </w:pPr>
            <w:r>
              <w:t xml:space="preserve">🟢 Baja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C-09</w:t>
            </w:r>
          </w:p>
        </w:tc>
        <w:tc>
          <w:tcPr/>
          <w:p>
            <w:pPr>
              <w:pStyle w:val="Compact"/>
            </w:pPr>
            <w:r>
              <w:t xml:space="preserve">Falta matriz de trazabilidad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bbfacfd47367ef286b4a3674bd5c6ad7cbcc0c0"/>
    <w:p>
      <w:pPr>
        <w:pStyle w:val="Heading1"/>
      </w:pPr>
      <w:r>
        <w:t xml:space="preserve">🔴 C-01 · Dos numeraciones de casos de uso</w:t>
      </w:r>
    </w:p>
    <w:bookmarkStart w:id="12" w:name="qué-pasa"/>
    <w:p>
      <w:pPr>
        <w:pStyle w:val="Heading2"/>
      </w:pPr>
      <w:r>
        <w:t xml:space="preserve">Qué pasa</w:t>
      </w:r>
    </w:p>
    <w:p>
      <w:pPr>
        <w:pStyle w:val="FirstParagraph"/>
      </w:pPr>
      <w:r>
        <w:t xml:space="preserve">El documento de requisitos referencia</w:t>
      </w:r>
      <w:r>
        <w:t xml:space="preserve"> </w:t>
      </w:r>
      <w:r>
        <w:rPr>
          <w:b/>
          <w:bCs/>
        </w:rPr>
        <w:t xml:space="preserve">CU-02, CU-04, CU-08, CU-12, CU-13, CU-15, CU-27, CU-28 y CU-29</w:t>
      </w:r>
      <w:r>
        <w:t xml:space="preserve">. El modelo de casos de uso de la carpeta de arquitectura numera del</w:t>
      </w:r>
      <w:r>
        <w:t xml:space="preserve"> </w:t>
      </w:r>
      <w:r>
        <w:rPr>
          <w:b/>
          <w:bCs/>
        </w:rPr>
        <w:t xml:space="preserve">CU-01 al CU-25</w:t>
      </w:r>
      <w:r>
        <w:t xml:space="preserve">, con significados distintos.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En el documento de requisitos</w:t>
            </w:r>
          </w:p>
        </w:tc>
        <w:tc>
          <w:tcPr/>
          <w:p>
            <w:pPr>
              <w:pStyle w:val="Compact"/>
            </w:pPr>
            <w:r>
              <w:t xml:space="preserve">En el modelo de 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Visualizar el panel / dashboard</w:t>
            </w:r>
          </w:p>
        </w:tc>
        <w:tc>
          <w:tcPr/>
          <w:p>
            <w:pPr>
              <w:pStyle w:val="Compact"/>
            </w:pPr>
            <w:r>
              <w:t xml:space="preserve">Editar suscripción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CU-15</w:t>
            </w:r>
          </w:p>
        </w:tc>
        <w:tc>
          <w:tcPr/>
          <w:p>
            <w:pPr>
              <w:pStyle w:val="Compact"/>
            </w:pPr>
            <w:r>
              <w:t xml:space="preserve">Asistente financiero con IA</w:t>
            </w:r>
          </w:p>
        </w:tc>
        <w:tc>
          <w:tcPr/>
          <w:p>
            <w:pPr>
              <w:pStyle w:val="Compact"/>
            </w:pPr>
            <w:r>
              <w:t xml:space="preserve">Detectar cobros en el correo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Sincronización de movimientos</w:t>
            </w:r>
          </w:p>
        </w:tc>
        <w:tc>
          <w:tcPr/>
          <w:p>
            <w:pPr>
              <w:pStyle w:val="Compact"/>
            </w:pPr>
            <w:r>
              <w:t xml:space="preserve">Conectar cuenta de Spotify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CU-27 a CU-29</w:t>
            </w:r>
          </w:p>
        </w:tc>
        <w:tc>
          <w:tcPr/>
          <w:p>
            <w:pPr>
              <w:pStyle w:val="Compact"/>
            </w:pPr>
            <w:r>
              <w:t xml:space="preserve">Trabajos automáticos</w:t>
            </w:r>
          </w:p>
        </w:tc>
        <w:tc>
          <w:tcPr/>
          <w:p>
            <w:pPr>
              <w:pStyle w:val="Compact"/>
            </w:pPr>
            <w:r>
              <w:t xml:space="preserve">No existen</w:t>
            </w:r>
          </w:p>
        </w:tc>
      </w:tr>
    </w:tbl>
    <w:bookmarkEnd w:id="12"/>
    <w:bookmarkStart w:id="13" w:name="por-qué-importa"/>
    <w:p>
      <w:pPr>
        <w:pStyle w:val="Heading2"/>
      </w:pPr>
      <w:r>
        <w:t xml:space="preserve">Por qué importa</w:t>
      </w:r>
    </w:p>
    <w:p>
      <w:pPr>
        <w:pStyle w:val="FirstParagraph"/>
      </w:pPr>
      <w:r>
        <w:t xml:space="preserve">Cada historia de usuario y varios requisitos no funcionales citan un número de caso de uso. Si ambos documentos entran al informe,</w:t>
      </w:r>
      <w:r>
        <w:t xml:space="preserve"> </w:t>
      </w:r>
      <w:r>
        <w:rPr>
          <w:b/>
          <w:bCs/>
        </w:rPr>
        <w:t xml:space="preserve">toda referencia cruzada apunta a dos cosas distintas</w:t>
      </w:r>
      <w:r>
        <w:t xml:space="preserve">. Es de los errores que un evaluador detecta al primer cruce.</w:t>
      </w:r>
    </w:p>
    <w:bookmarkEnd w:id="13"/>
    <w:bookmarkStart w:id="14" w:name="opciones"/>
    <w:p>
      <w:pPr>
        <w:pStyle w:val="Heading2"/>
      </w:pPr>
      <w:r>
        <w:t xml:space="preserve">Opciones</w:t>
      </w:r>
    </w:p>
    <w:p>
      <w:pPr>
        <w:pStyle w:val="FirstParagraph"/>
      </w:pPr>
      <w:r>
        <w:rPr>
          <w:b/>
          <w:bCs/>
        </w:rPr>
        <w:t xml:space="preserve">A. Adoptar la numeración del documento de requisitos.</w:t>
      </w:r>
      <w:r>
        <w:t xml:space="preserve"> </w:t>
      </w:r>
      <w:r>
        <w:t xml:space="preserve">Es más completa —incluye el plan Premium y los casos iniciados por el sistema—, ya está referenciada desde las historias y los RNF, y es la que el equipo elaboró en conjunto.</w:t>
      </w:r>
    </w:p>
    <w:p>
      <w:pPr>
        <w:pStyle w:val="BodyText"/>
      </w:pPr>
      <w:r>
        <w:rPr>
          <w:b/>
          <w:bCs/>
        </w:rPr>
        <w:t xml:space="preserve">B. Adoptar la del modelo de casos de uso.</w:t>
      </w:r>
      <w:r>
        <w:t xml:space="preserve"> </w:t>
      </w:r>
      <w:r>
        <w:t xml:space="preserve">Tiene narrativas extendidas escritas para seis casos, con flujos alternativos y excepciones. Habría que renumerarlas y reescribir las referencias de las HU y los RNF.</w:t>
      </w:r>
    </w:p>
    <w:p>
      <w:pPr>
        <w:pStyle w:val="BlockText"/>
      </w:pPr>
      <w:r>
        <w:rPr>
          <w:b/>
          <w:bCs/>
        </w:rPr>
        <w:t xml:space="preserve">Recomendación: opción A.</w:t>
      </w:r>
      <w:r>
        <w:t xml:space="preserve"> </w:t>
      </w:r>
      <w:r>
        <w:t xml:space="preserve">Se conserva la numeración del equipo y se</w:t>
      </w:r>
      <w:r>
        <w:t xml:space="preserve"> </w:t>
      </w:r>
      <w:r>
        <w:rPr>
          <w:b/>
          <w:bCs/>
        </w:rPr>
        <w:t xml:space="preserve">reescriben las narrativas extendidas</w:t>
      </w:r>
      <w:r>
        <w:t xml:space="preserve"> </w:t>
      </w:r>
      <w:r>
        <w:t xml:space="preserve">sobre ella. Se pierde menos trabajo: las narrativas son seis, las referencias cruzadas son muchas más.</w:t>
      </w:r>
    </w:p>
    <w:bookmarkEnd w:id="14"/>
    <w:bookmarkStart w:id="15" w:name="qué-hay-que-actualizar-si-se-elige-a"/>
    <w:p>
      <w:pPr>
        <w:pStyle w:val="Heading2"/>
      </w:pPr>
      <w:r>
        <w:t xml:space="preserve">Qué hay que actualizar si se elige 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docs/diagramas/casos-de-uso.puml</w:t>
      </w:r>
      <w:r>
        <w:t xml:space="preserve"> </w:t>
      </w:r>
      <w:r>
        <w:t xml:space="preserve">— renumerar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docs/diagramas/casos-de-uso-narrativas.md</w:t>
      </w:r>
      <w:r>
        <w:t xml:space="preserve"> </w:t>
      </w:r>
      <w:r>
        <w:t xml:space="preserve">— renumerar las seis narrativas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Casos de uso.docx</w:t>
      </w:r>
      <w:r>
        <w:t xml:space="preserve"> </w:t>
      </w:r>
      <w:r>
        <w:t xml:space="preserve">— regenerar</w:t>
      </w:r>
    </w:p>
    <w:p>
      <w:pPr>
        <w:pStyle w:val="Compact"/>
        <w:numPr>
          <w:ilvl w:val="0"/>
          <w:numId w:val="1001"/>
        </w:numPr>
      </w:pPr>
      <w:r>
        <w:t xml:space="preserve">Las referencias a CU en los ADR-005 y ADR-006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red_circle-c-02--sincronización-bancaria"/>
    <w:p>
      <w:pPr>
        <w:pStyle w:val="Heading1"/>
      </w:pPr>
      <w:r>
        <w:t xml:space="preserve">🔴 C-02 · Sincronización bancaria</w:t>
      </w:r>
    </w:p>
    <w:bookmarkStart w:id="17" w:name="qué-pasa-1"/>
    <w:p>
      <w:pPr>
        <w:pStyle w:val="Heading2"/>
      </w:pPr>
      <w:r>
        <w:t xml:space="preserve">Qué pasa</w:t>
      </w:r>
    </w:p>
    <w:p>
      <w:pPr>
        <w:pStyle w:val="FirstParagraph"/>
      </w:pPr>
      <w:r>
        <w:t xml:space="preserve">El documento de requisitos incorpora la sincronización de movimientos bancarios en</w:t>
      </w:r>
      <w:r>
        <w:t xml:space="preserve"> </w:t>
      </w:r>
      <w:r>
        <w:rPr>
          <w:b/>
          <w:bCs/>
        </w:rPr>
        <w:t xml:space="preserve">RF-05, RNF-01 y RNF-16</w:t>
      </w:r>
      <w:r>
        <w:t xml:space="preserve">, en el caso de uso «Sincronizar movimientos bancarios», y como actor «Banco» en el diagrama de secuencia.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ADR-005</w:t>
      </w:r>
      <w:r>
        <w:t xml:space="preserve"> </w:t>
      </w:r>
      <w:r>
        <w:t xml:space="preserve">concluye, con datos verificados en agosto de 2026, que:</w:t>
      </w:r>
    </w:p>
    <w:p>
      <w:pPr>
        <w:pStyle w:val="Compact"/>
        <w:numPr>
          <w:ilvl w:val="0"/>
          <w:numId w:val="1002"/>
        </w:numPr>
      </w:pPr>
      <w:r>
        <w:t xml:space="preserve">Fintoc exige un mínimo de facturación de</w:t>
      </w:r>
      <w:r>
        <w:t xml:space="preserve"> </w:t>
      </w:r>
      <w:r>
        <w:rPr>
          <w:b/>
          <w:bCs/>
        </w:rPr>
        <w:t xml:space="preserve">6,5 UF mensuales</w:t>
      </w:r>
      <w:r>
        <w:t xml:space="preserve"> </w:t>
      </w:r>
      <w:r>
        <w:t xml:space="preserve">(≈ $316.000 con IVA), se use o no el servicio</w:t>
      </w:r>
    </w:p>
    <w:p>
      <w:pPr>
        <w:pStyle w:val="Compact"/>
        <w:numPr>
          <w:ilvl w:val="0"/>
          <w:numId w:val="1002"/>
        </w:numPr>
      </w:pPr>
      <w:r>
        <w:t xml:space="preserve">Belvo parte en</w:t>
      </w:r>
      <w:r>
        <w:t xml:space="preserve"> </w:t>
      </w:r>
      <w:r>
        <w:rPr>
          <w:b/>
          <w:bCs/>
        </w:rPr>
        <w:t xml:space="preserve">USD 1.000 mensuales</w:t>
      </w:r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Sistema de Finanzas Abiertas</w:t>
      </w:r>
      <w:r>
        <w:t xml:space="preserve"> </w:t>
      </w:r>
      <w:r>
        <w:t xml:space="preserve">de la Ley Fintech no entra en operación hasta</w:t>
      </w:r>
      <w:r>
        <w:t xml:space="preserve"> </w:t>
      </w:r>
      <w:r>
        <w:rPr>
          <w:b/>
          <w:bCs/>
        </w:rPr>
        <w:t xml:space="preserve">julio de 2027</w:t>
      </w:r>
    </w:p>
    <w:bookmarkEnd w:id="17"/>
    <w:bookmarkStart w:id="18" w:name="por-qué-importa-1"/>
    <w:p>
      <w:pPr>
        <w:pStyle w:val="Heading2"/>
      </w:pPr>
      <w:r>
        <w:t xml:space="preserve">Por qué importa</w:t>
      </w:r>
    </w:p>
    <w:p>
      <w:pPr>
        <w:pStyle w:val="FirstParagraph"/>
      </w:pPr>
      <w:r>
        <w:t xml:space="preserve">Es un requisito que</w:t>
      </w:r>
      <w:r>
        <w:t xml:space="preserve"> </w:t>
      </w:r>
      <w:r>
        <w:rPr>
          <w:b/>
          <w:bCs/>
        </w:rPr>
        <w:t xml:space="preserve">no se puede implementar</w:t>
      </w:r>
      <w:r>
        <w:t xml:space="preserve"> </w:t>
      </w:r>
      <w:r>
        <w:t xml:space="preserve">dentro del proyecto. Dejarlo como requisito sin más significa entregar un sistema que incumple su propia especificación.</w:t>
      </w:r>
    </w:p>
    <w:bookmarkEnd w:id="18"/>
    <w:bookmarkStart w:id="19" w:name="opciones-1"/>
    <w:p>
      <w:pPr>
        <w:pStyle w:val="Heading2"/>
      </w:pPr>
      <w:r>
        <w:t xml:space="preserve">Opciones</w:t>
      </w:r>
    </w:p>
    <w:p>
      <w:pPr>
        <w:pStyle w:val="FirstParagraph"/>
      </w:pPr>
      <w:r>
        <w:rPr>
          <w:b/>
          <w:bCs/>
        </w:rPr>
        <w:t xml:space="preserve">A. Declararlo fuera del alcance de esta versión.</w:t>
      </w:r>
      <w:r>
        <w:t xml:space="preserve"> </w:t>
      </w:r>
      <w:r>
        <w:t xml:space="preserve">Se mantiene en el documento, marcado explícitamente como no implementado, con la justificación económica y regulatoria del ADR-005. Se documenta como trabajo futuro con fecha concreta: julio de 2027.</w:t>
      </w:r>
    </w:p>
    <w:p>
      <w:pPr>
        <w:pStyle w:val="BodyText"/>
      </w:pPr>
      <w:r>
        <w:rPr>
          <w:b/>
          <w:bCs/>
        </w:rPr>
        <w:t xml:space="preserve">B. Contratar un agregador.</w:t>
      </w:r>
      <w:r>
        <w:t xml:space="preserve"> </w:t>
      </w:r>
      <w:r>
        <w:t xml:space="preserve">Requiere presupuesto real y trámites con el proveedor.</w:t>
      </w:r>
    </w:p>
    <w:p>
      <w:pPr>
        <w:pStyle w:val="BodyText"/>
      </w:pPr>
      <w:r>
        <w:rPr>
          <w:b/>
          <w:bCs/>
        </w:rPr>
        <w:t xml:space="preserve">C. Eliminar el requisito.</w:t>
      </w:r>
      <w:r>
        <w:t xml:space="preserve"> </w:t>
      </w:r>
      <w:r>
        <w:t xml:space="preserve">Se pierde la trazabilidad de haberlo evaluado.</w:t>
      </w:r>
    </w:p>
    <w:p>
      <w:pPr>
        <w:pStyle w:val="BlockText"/>
      </w:pPr>
      <w:r>
        <w:rPr>
          <w:b/>
          <w:bCs/>
        </w:rPr>
        <w:t xml:space="preserve">Recomendación: opción A.</w:t>
      </w:r>
      <w:r>
        <w:t xml:space="preserve"> </w:t>
      </w:r>
      <w:r>
        <w:t xml:space="preserve">Es la única viable, y además</w:t>
      </w:r>
      <w:r>
        <w:t xml:space="preserve"> </w:t>
      </w:r>
      <w:r>
        <w:rPr>
          <w:b/>
          <w:bCs/>
        </w:rPr>
        <w:t xml:space="preserve">suma en la defensa</w:t>
      </w:r>
      <w:r>
        <w:t xml:space="preserve">: demuestra que el equipo evaluó la alternativa con datos de mercado y regulación, en vez de descartarla por intuición.</w:t>
      </w:r>
    </w:p>
    <w:bookmarkEnd w:id="19"/>
    <w:bookmarkStart w:id="20" w:name="consecuencia-práctica"/>
    <w:p>
      <w:pPr>
        <w:pStyle w:val="Heading2"/>
      </w:pPr>
      <w:r>
        <w:t xml:space="preserve">Consecuencia práctica</w:t>
      </w:r>
    </w:p>
    <w:p>
      <w:pPr>
        <w:pStyle w:val="FirstParagraph"/>
      </w:pPr>
      <w:r>
        <w:t xml:space="preserve">El origen de los cobros queda en las tres vías del ADR-005:</w:t>
      </w:r>
      <w:r>
        <w:t xml:space="preserve"> </w:t>
      </w:r>
      <w:r>
        <w:rPr>
          <w:b/>
          <w:bCs/>
        </w:rPr>
        <w:t xml:space="preserve">entrada manual, importación CSV y lectura de correo</w:t>
      </w:r>
      <w:r>
        <w:t xml:space="preserve">. El diagrama de secuencia debe ajustarse: el actor «Banco» sale, o queda marcado como no implementado.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74eeb8b48c506c8890ed53f61c4068be3c6c266"/>
    <w:p>
      <w:pPr>
        <w:pStyle w:val="Heading1"/>
      </w:pPr>
      <w:r>
        <w:t xml:space="preserve">🔴 C-03 · ¿Usuario individual u hogar?</w:t>
      </w:r>
    </w:p>
    <w:bookmarkStart w:id="22" w:name="qué-pasa-2"/>
    <w:p>
      <w:pPr>
        <w:pStyle w:val="Heading2"/>
      </w:pPr>
      <w:r>
        <w:t xml:space="preserve">Qué pasa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Modelado de requisitos</w:t>
            </w:r>
          </w:p>
        </w:tc>
        <w:tc>
          <w:tcPr/>
          <w:p>
            <w:pPr>
              <w:pStyle w:val="Compact"/>
            </w:pPr>
            <w:r>
              <w:t xml:space="preserve">Todo cuelga de «Usuario autenticado».</w:t>
            </w:r>
            <w:r>
              <w:t xml:space="preserve"> </w:t>
            </w:r>
            <w:r>
              <w:rPr>
                <w:b/>
                <w:bCs/>
              </w:rPr>
              <w:t xml:space="preserve">No existe el concepto de hogar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organizacion</w:t>
            </w:r>
            <w:r>
              <w:t xml:space="preserve"> </w:t>
            </w:r>
            <w:r>
              <w:t xml:space="preserve">como hogar o grupo familiar; multi-tenancy; caso de uso «Compartir suscripción»; tabla</w:t>
            </w:r>
            <w:r>
              <w:t xml:space="preserve"> </w:t>
            </w:r>
            <w:r>
              <w:rPr>
                <w:rStyle w:val="VerbatimChar"/>
              </w:rPr>
              <w:t xml:space="preserve">usuario_suscripcion</w:t>
            </w:r>
          </w:p>
        </w:tc>
      </w:tr>
    </w:tbl>
    <w:bookmarkEnd w:id="22"/>
    <w:bookmarkStart w:id="23" w:name="por-qué-importa-2"/>
    <w:p>
      <w:pPr>
        <w:pStyle w:val="Heading2"/>
      </w:pPr>
      <w:r>
        <w:t xml:space="preserve">Por qué importa</w:t>
      </w:r>
    </w:p>
    <w:p>
      <w:pPr>
        <w:pStyle w:val="FirstParagraph"/>
      </w:pPr>
      <w:r>
        <w:t xml:space="preserve">Es la decisión con</w:t>
      </w:r>
      <w:r>
        <w:t xml:space="preserve"> </w:t>
      </w:r>
      <w:r>
        <w:rPr>
          <w:b/>
          <w:bCs/>
        </w:rPr>
        <w:t xml:space="preserve">más consecuencias sobre el trabajo restante</w:t>
      </w:r>
      <w:r>
        <w:t xml:space="preserve">. Afecta el modelo de datos, el servicio de autenticación, el aislamiento multi-tenant y varios casos de uso.</w:t>
      </w:r>
    </w:p>
    <w:bookmarkEnd w:id="23"/>
    <w:bookmarkStart w:id="24" w:name="qué-dicen-los-datos-de-la-encuesta"/>
    <w:p>
      <w:pPr>
        <w:pStyle w:val="Heading2"/>
      </w:pPr>
      <w:r>
        <w:t xml:space="preserve">Qué dicen los datos de la encuesta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57,9%</w:t>
      </w:r>
      <w:r>
        <w:t xml:space="preserve"> </w:t>
      </w:r>
      <w:r>
        <w:t xml:space="preserve">comparte al menos una suscripción con familia o amigos</w:t>
      </w:r>
    </w:p>
    <w:p>
      <w:pPr>
        <w:pStyle w:val="Compact"/>
        <w:numPr>
          <w:ilvl w:val="0"/>
          <w:numId w:val="1003"/>
        </w:numPr>
      </w:pPr>
      <w:r>
        <w:t xml:space="preserve">Pero solo el</w:t>
      </w:r>
      <w:r>
        <w:t xml:space="preserve"> </w:t>
      </w:r>
      <w:r>
        <w:rPr>
          <w:b/>
          <w:bCs/>
        </w:rPr>
        <w:t xml:space="preserve">28%</w:t>
      </w:r>
      <w:r>
        <w:t xml:space="preserve"> </w:t>
      </w:r>
      <w:r>
        <w:t xml:space="preserve">de quienes comparten ha tenido problemas para cobrar o llevar la cuenta</w:t>
      </w:r>
    </w:p>
    <w:p>
      <w:pPr>
        <w:pStyle w:val="FirstParagraph"/>
      </w:pPr>
      <w:r>
        <w:t xml:space="preserve">O sea: compartir es una práctica extendida, pero el conflicto asociado</w:t>
      </w:r>
      <w:r>
        <w:t xml:space="preserve"> </w:t>
      </w:r>
      <w:r>
        <w:rPr>
          <w:b/>
          <w:bCs/>
        </w:rPr>
        <w:t xml:space="preserve">no es el dolor principal</w:t>
      </w:r>
      <w:r>
        <w:t xml:space="preserve">. El dolor principal es pagar por lo que no se usa (68,4%) y los cobros tras pruebas gratuitas (65,8%).</w:t>
      </w:r>
    </w:p>
    <w:bookmarkEnd w:id="24"/>
    <w:bookmarkStart w:id="25" w:name="opciones-2"/>
    <w:p>
      <w:pPr>
        <w:pStyle w:val="Heading2"/>
      </w:pPr>
      <w:r>
        <w:t xml:space="preserve">Opciones</w:t>
      </w:r>
    </w:p>
    <w:p>
      <w:pPr>
        <w:pStyle w:val="FirstParagraph"/>
      </w:pPr>
      <w:r>
        <w:rPr>
          <w:b/>
          <w:bCs/>
        </w:rPr>
        <w:t xml:space="preserve">A. Usuario individual.</w:t>
      </w:r>
      <w:r>
        <w:t xml:space="preserve"> </w:t>
      </w:r>
      <w:r>
        <w:t xml:space="preserve">Se simplifica bastante: desaparece</w:t>
      </w:r>
      <w:r>
        <w:t xml:space="preserve"> </w:t>
      </w:r>
      <w:r>
        <w:rPr>
          <w:rStyle w:val="VerbatimChar"/>
        </w:rPr>
        <w:t xml:space="preserve">organizacion</w:t>
      </w:r>
      <w:r>
        <w:t xml:space="preserve">, el aislamiento pasa a ser por usuario,</w:t>
      </w:r>
      <w:r>
        <w:t xml:space="preserve"> </w:t>
      </w:r>
      <w:r>
        <w:rPr>
          <w:rStyle w:val="VerbatimChar"/>
        </w:rPr>
        <w:t xml:space="preserve">usuario_suscripcion</w:t>
      </w:r>
      <w:r>
        <w:t xml:space="preserve"> </w:t>
      </w:r>
      <w:r>
        <w:t xml:space="preserve">deja de ser necesaria, y el caso de uso de compartir sale del alcance.</w:t>
      </w:r>
    </w:p>
    <w:p>
      <w:pPr>
        <w:pStyle w:val="BodyText"/>
      </w:pPr>
      <w:r>
        <w:rPr>
          <w:b/>
          <w:bCs/>
        </w:rPr>
        <w:t xml:space="preserve">B. Hogar / organización.</w:t>
      </w:r>
      <w:r>
        <w:t xml:space="preserve"> </w:t>
      </w:r>
      <w:r>
        <w:t xml:space="preserve">Se conserva el diferenciador respecto de la competencia, pero se agrega complejidad: gestión de integrantes, roles, reparto de gastos.</w:t>
      </w:r>
    </w:p>
    <w:p>
      <w:pPr>
        <w:pStyle w:val="BlockText"/>
      </w:pPr>
      <w:r>
        <w:rPr>
          <w:b/>
          <w:bCs/>
        </w:rPr>
        <w:t xml:space="preserve">Recomendación: opción A para esta versión</w:t>
      </w:r>
      <w:r>
        <w:t xml:space="preserve">, documentando el hogar como extensión futura. El modelo de datos ya está diseñado para admitirlo —basta que</w:t>
      </w:r>
      <w:r>
        <w:t xml:space="preserve"> </w:t>
      </w:r>
      <w:r>
        <w:rPr>
          <w:rStyle w:val="VerbatimChar"/>
        </w:rPr>
        <w:t xml:space="preserve">organizacion</w:t>
      </w:r>
      <w:r>
        <w:t xml:space="preserve"> </w:t>
      </w:r>
      <w:r>
        <w:t xml:space="preserve">pase a tener un solo usuario— y así no se pierde el trabajo hecho.</w:t>
      </w:r>
    </w:p>
    <w:p>
      <w:pPr>
        <w:pStyle w:val="FirstParagraph"/>
      </w:pPr>
      <w:r>
        <w:t xml:space="preserve">⚠️ Si se elige A, el aislamiento multi-tenant</w:t>
      </w:r>
      <w:r>
        <w:t xml:space="preserve"> </w:t>
      </w:r>
      <w:r>
        <w:rPr>
          <w:b/>
          <w:bCs/>
        </w:rPr>
        <w:t xml:space="preserve">no desaparece</w:t>
      </w:r>
      <w:r>
        <w:t xml:space="preserve">: sigue siendo obligatorio que ningún usuario vea datos de otro. Solo cambia el campo por el que se filtra.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6219c6799f2375a95c943d7347cbdf588b27c70"/>
    <w:p>
      <w:pPr>
        <w:pStyle w:val="Heading1"/>
      </w:pPr>
      <w:r>
        <w:t xml:space="preserve">🟡 C-04 · Plan Premium y asistente con IA</w:t>
      </w:r>
    </w:p>
    <w:bookmarkStart w:id="27" w:name="qué-pasa-3"/>
    <w:p>
      <w:pPr>
        <w:pStyle w:val="Heading2"/>
      </w:pPr>
      <w:r>
        <w:t xml:space="preserve">Qué pasa</w:t>
      </w:r>
    </w:p>
    <w:p>
      <w:pPr>
        <w:pStyle w:val="FirstParagraph"/>
      </w:pPr>
      <w:r>
        <w:t xml:space="preserve">El documento de requisitos define un</w:t>
      </w:r>
      <w:r>
        <w:t xml:space="preserve"> </w:t>
      </w:r>
      <w:r>
        <w:rPr>
          <w:b/>
          <w:bCs/>
        </w:rPr>
        <w:t xml:space="preserve">plan Premium</w:t>
      </w:r>
      <w:r>
        <w:t xml:space="preserve"> </w:t>
      </w:r>
      <w:r>
        <w:t xml:space="preserve">(HU-05) con un</w:t>
      </w:r>
      <w:r>
        <w:t xml:space="preserve"> </w:t>
      </w:r>
      <w:r>
        <w:rPr>
          <w:b/>
          <w:bCs/>
        </w:rPr>
        <w:t xml:space="preserve">asistente financiero por chat</w:t>
      </w:r>
      <w:r>
        <w:t xml:space="preserve">, más recomendaciones avanzadas, búsqueda de ofertas y configuración de alertas.</w:t>
      </w:r>
    </w:p>
    <w:p>
      <w:pPr>
        <w:pStyle w:val="BodyText"/>
      </w:pPr>
      <w:r>
        <w:t xml:space="preserve">Nada de eso está en el modelo de datos, el glosario ni el modelo de casos de uso de la carpeta de arquitectura.</w:t>
      </w:r>
    </w:p>
    <w:bookmarkEnd w:id="27"/>
    <w:bookmarkStart w:id="28" w:name="qué-falta-definir"/>
    <w:p>
      <w:pPr>
        <w:pStyle w:val="Heading2"/>
      </w:pPr>
      <w:r>
        <w:t xml:space="preserve">Qué falta definir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Cómo se representa el plan</w:t>
      </w:r>
      <w:r>
        <w:t xml:space="preserve"> </w:t>
      </w:r>
      <w:r>
        <w:t xml:space="preserve">y qué funcionalidades bloquea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el chat conserva historial</w:t>
      </w:r>
      <w:r>
        <w:t xml:space="preserve"> </w:t>
      </w:r>
      <w:r>
        <w:t xml:space="preserve">— de ser así, hace falta una tabla de conversación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Dónde vive el asistente</w:t>
      </w:r>
      <w:r>
        <w:t xml:space="preserve">: ¿dentro del servicio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o como servicio propio?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Cómo se controla el costo</w:t>
      </w:r>
      <w:r>
        <w:t xml:space="preserve"> </w:t>
      </w:r>
      <w:r>
        <w:t xml:space="preserve">de las llamadas a la API de IA (el RNF-20 lo menciona, pero sin mecanismo)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el asistente vive dentro de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, que ya integra la API de IA para explicar recomendaciones. El plan se resuelve con un campo y una clase de permiso; no requiere servicio nuevo.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costo de la IA no es teórico.</w:t>
      </w:r>
      <w:r>
        <w:t xml:space="preserve"> </w:t>
      </w:r>
      <w:r>
        <w:t xml:space="preserve">Cada conversación consume tokens que se pagan. Sin un límite por usuario, un solo usuario puede generar un gasto desproporcionado. Debe definirse un tope antes de implementar, no después.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yellow_circle-c-05--nombre-del-proyecto"/>
    <w:p>
      <w:pPr>
        <w:pStyle w:val="Heading1"/>
      </w:pPr>
      <w:r>
        <w:t xml:space="preserve">🟡 C-05 · Nombre del proyecto</w:t>
      </w:r>
    </w:p>
    <w:p>
      <w:pPr>
        <w:pStyle w:val="FirstParagraph"/>
      </w:pPr>
      <w:r>
        <w:t xml:space="preserve">El documento de requisitos lo llama</w:t>
      </w:r>
      <w:r>
        <w:t xml:space="preserve"> </w:t>
      </w:r>
      <w:r>
        <w:rPr>
          <w:b/>
          <w:bCs/>
        </w:rPr>
        <w:t xml:space="preserve">«Ojo al Gasto»</w:t>
      </w:r>
      <w:r>
        <w:t xml:space="preserve">. La documentación de arquitectura usa «Plataforma de control de suscripciones de pago».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«Ojo al Gasto» como nombre del producto, y la descripción larga como subtítulo. Hay que actualizar las portadas de todos los documentos.</w:t>
      </w:r>
    </w:p>
    <w:p>
      <w:r>
        <w:pict>
          <v:rect style="width:0;height:1.5pt" o:hralign="center" o:hrstd="t" o:hr="t"/>
        </w:pict>
      </w:r>
    </w:p>
    <w:bookmarkEnd w:id="30"/>
    <w:bookmarkStart w:id="34" w:name="X706f3eb5e49d3658accb1c2e7e1bf5ba4ca67c5"/>
    <w:p>
      <w:pPr>
        <w:pStyle w:val="Heading1"/>
      </w:pPr>
      <w:r>
        <w:t xml:space="preserve">🟡 C-06 · Requisitos no funcionales no verificables</w:t>
      </w:r>
    </w:p>
    <w:bookmarkStart w:id="31" w:name="qué-pasa-4"/>
    <w:p>
      <w:pPr>
        <w:pStyle w:val="Heading2"/>
      </w:pPr>
      <w:r>
        <w:t xml:space="preserve">Qué pasa</w:t>
      </w:r>
    </w:p>
    <w:p>
      <w:pPr>
        <w:pStyle w:val="FirstParagraph"/>
      </w:pPr>
      <w:r>
        <w:t xml:space="preserve">Varios RNF establecen métricas que</w:t>
      </w:r>
      <w:r>
        <w:t xml:space="preserve"> </w:t>
      </w:r>
      <w:r>
        <w:rPr>
          <w:b/>
          <w:bCs/>
        </w:rPr>
        <w:t xml:space="preserve">el proyecto no puede medir ni demostrar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Exige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99,5% de disponibilidad mensual</w:t>
            </w:r>
          </w:p>
        </w:tc>
        <w:tc>
          <w:tcPr/>
          <w:p>
            <w:pPr>
              <w:pStyle w:val="Compact"/>
            </w:pPr>
            <w:r>
              <w:t xml:space="preserve">Equivale a menos de 3,6 horas de caída al mes. Sobre infraestructura gratuita no es medible ni exigible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Recuperación en 1 hora, sin perder 24 horas de transacciones</w:t>
            </w:r>
          </w:p>
        </w:tc>
        <w:tc>
          <w:tcPr/>
          <w:p>
            <w:pPr>
              <w:pStyle w:val="Compact"/>
            </w:pPr>
            <w:r>
              <w:t xml:space="preserve">Implica respaldos y replicación que no están en la arquitectura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1.000 usuarios concurrentes</w:t>
            </w:r>
          </w:p>
        </w:tc>
        <w:tc>
          <w:tcPr/>
          <w:p>
            <w:pPr>
              <w:pStyle w:val="Compact"/>
            </w:pPr>
            <w:r>
              <w:t xml:space="preserve">Requiere pruebas de carga que no están contempladas</w:t>
            </w:r>
          </w:p>
        </w:tc>
      </w:tr>
    </w:tbl>
    <w:bookmarkEnd w:id="31"/>
    <w:bookmarkStart w:id="32" w:name="por-qué-importa-3"/>
    <w:p>
      <w:pPr>
        <w:pStyle w:val="Heading2"/>
      </w:pPr>
      <w:r>
        <w:t xml:space="preserve">Por qué importa</w:t>
      </w:r>
    </w:p>
    <w:p>
      <w:pPr>
        <w:pStyle w:val="FirstParagraph"/>
      </w:pPr>
      <w:r>
        <w:t xml:space="preserve">Un requisito no funcional que no se puede verificar</w:t>
      </w:r>
      <w:r>
        <w:t xml:space="preserve"> </w:t>
      </w:r>
      <w:r>
        <w:rPr>
          <w:b/>
          <w:bCs/>
        </w:rPr>
        <w:t xml:space="preserve">no es un requisito, es una aspiración</w:t>
      </w:r>
      <w:r>
        <w:t xml:space="preserve">. Y si el informe los presenta como cumplidos sin evidencia, es exactamente lo que un evaluador con criterio va a preguntar.</w:t>
      </w:r>
    </w:p>
    <w:bookmarkEnd w:id="32"/>
    <w:bookmarkStart w:id="33" w:name="opciones-3"/>
    <w:p>
      <w:pPr>
        <w:pStyle w:val="Heading2"/>
      </w:pPr>
      <w:r>
        <w:t xml:space="preserve">Opciones</w:t>
      </w:r>
    </w:p>
    <w:p>
      <w:pPr>
        <w:pStyle w:val="FirstParagraph"/>
      </w:pPr>
      <w:r>
        <w:rPr>
          <w:b/>
          <w:bCs/>
        </w:rPr>
        <w:t xml:space="preserve">A. Declararlos como objetivos de diseño no verificados en esta versión.</w:t>
      </w:r>
      <w:r>
        <w:t xml:space="preserve"> </w:t>
      </w:r>
      <w:r>
        <w:t xml:space="preserve">Se mantienen, con una nota explícita de que no se midieron y por qué.</w:t>
      </w:r>
    </w:p>
    <w:p>
      <w:pPr>
        <w:pStyle w:val="BodyText"/>
      </w:pPr>
      <w:r>
        <w:rPr>
          <w:b/>
          <w:bCs/>
        </w:rPr>
        <w:t xml:space="preserve">B. Reemplazarlos por métricas demostrables.</w:t>
      </w:r>
      <w:r>
        <w:t xml:space="preserve"> </w:t>
      </w:r>
      <w:r>
        <w:t xml:space="preserve">Por ejemplo: «el panel responde en menos de 2 segundos con 50 suscripciones cargadas», que sí se puede mostrar en la defensa.</w:t>
      </w:r>
    </w:p>
    <w:p>
      <w:pPr>
        <w:pStyle w:val="BlockText"/>
      </w:pPr>
      <w:r>
        <w:rPr>
          <w:b/>
          <w:bCs/>
        </w:rPr>
        <w:t xml:space="preserve">Recomendación: ambas.</w:t>
      </w:r>
      <w:r>
        <w:t xml:space="preserve"> </w:t>
      </w:r>
      <w:r>
        <w:t xml:space="preserve">Conservar los originales como objetivos declarados, y agregar para cada uno</w:t>
      </w:r>
      <w:r>
        <w:t xml:space="preserve"> </w:t>
      </w:r>
      <w:r>
        <w:rPr>
          <w:b/>
          <w:bCs/>
        </w:rPr>
        <w:t xml:space="preserve">una métrica verificable equivalente</w:t>
      </w:r>
      <w:r>
        <w:t xml:space="preserve"> </w:t>
      </w:r>
      <w:r>
        <w:t xml:space="preserve">que sí se pueda demostrar. Así el documento no pierde ambición y la entrega no queda expuesta.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302f0fc9cf0cf47e509e7381be7e1d306b362e6"/>
    <w:p>
      <w:pPr>
        <w:pStyle w:val="Heading1"/>
      </w:pPr>
      <w:r>
        <w:t xml:space="preserve">🟡 C-07 · Casos de uso que son restricciones</w:t>
      </w:r>
    </w:p>
    <w:p>
      <w:pPr>
        <w:pStyle w:val="FirstParagraph"/>
      </w:pPr>
      <w:r>
        <w:t xml:space="preserve">En el diagrama de casos de uso aparecen tres elementos que no son casos de 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Qué es en realidad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Sanitizar datos personales (PII)</w:t>
            </w:r>
          </w:p>
        </w:tc>
        <w:tc>
          <w:tcPr/>
          <w:p>
            <w:pPr>
              <w:pStyle w:val="Compact"/>
            </w:pPr>
            <w:r>
              <w:t xml:space="preserve">Requisito no funcional de 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Limitar ingesta de documentos</w:t>
            </w:r>
          </w:p>
        </w:tc>
        <w:tc>
          <w:tcPr/>
          <w:p>
            <w:pPr>
              <w:pStyle w:val="Compact"/>
            </w:pPr>
            <w:r>
              <w:t xml:space="preserve">Restricción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Clasificar gasto recurrente variable</w:t>
            </w:r>
          </w:p>
        </w:tc>
        <w:tc>
          <w:tcPr/>
          <w:p>
            <w:pPr>
              <w:pStyle w:val="Compact"/>
            </w:pPr>
            <w:r>
              <w:t xml:space="preserve">Paso interno de otro caso de uso</w:t>
            </w:r>
          </w:p>
        </w:tc>
      </w:tr>
    </w:tbl>
    <w:p>
      <w:pPr>
        <w:pStyle w:val="BodyText"/>
      </w:pPr>
      <w:r>
        <w:t xml:space="preserve">Un caso de uso es</w:t>
      </w:r>
      <w:r>
        <w:t xml:space="preserve"> </w:t>
      </w:r>
      <w:r>
        <w:rPr>
          <w:b/>
          <w:bCs/>
        </w:rPr>
        <w:t xml:space="preserve">un objetivo con valor para un actor</w:t>
      </w:r>
      <w:r>
        <w:t xml:space="preserve">. Estos son comportamientos internos del sistema que ningún actor persigue.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moverlos a la sección de requisitos no funcionales. Es de los errores que más se penalizan en este entregable, y corregirlo cuesta cinco minutos.</w:t>
      </w:r>
    </w:p>
    <w:p>
      <w:r>
        <w:pict>
          <v:rect style="width:0;height:1.5pt" o:hralign="center" o:hrstd="t" o:hr="t"/>
        </w:pict>
      </w:r>
    </w:p>
    <w:bookmarkEnd w:id="35"/>
    <w:bookmarkStart w:id="36" w:name="Xd71945c2690e060b1f9276176044fc594f1472e"/>
    <w:p>
      <w:pPr>
        <w:pStyle w:val="Heading1"/>
      </w:pPr>
      <w:r>
        <w:t xml:space="preserve">🟢 C-08 · Requisitos funcionales incompletos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 y RF-10</w:t>
            </w:r>
          </w:p>
        </w:tc>
        <w:tc>
          <w:tcPr/>
          <w:p>
            <w:pPr>
              <w:pStyle w:val="Compact"/>
            </w:pPr>
            <w:r>
              <w:t xml:space="preserve">Están vacíos. Solo dicen «Baja»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Las celdas están cruzadas: la descripción dice «Media» —que es una prioridad— y el criterio corresponde a RF-07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El criterio dice «según el SII». El Servicio de Impuestos Internos no tiene relación con el control de suscripciones de una persona</w:t>
            </w:r>
          </w:p>
        </w:tc>
      </w:tr>
    </w:tbl>
    <w:p>
      <w:pPr>
        <w:pStyle w:val="BodyText"/>
      </w:pPr>
      <w:r>
        <w:t xml:space="preserve">También hay un desbalance:</w:t>
      </w:r>
      <w:r>
        <w:t xml:space="preserve"> </w:t>
      </w:r>
      <w:r>
        <w:rPr>
          <w:b/>
          <w:bCs/>
        </w:rPr>
        <w:t xml:space="preserve">cinco historias de usuario para diez requisitos funcionales y unos treinta casos de uso</w:t>
      </w:r>
      <w:r>
        <w:t xml:space="preserve">. Lo habitual es lo contrario — más historias que requisitos.</w:t>
      </w:r>
    </w:p>
    <w:p>
      <w:r>
        <w:pict>
          <v:rect style="width:0;height:1.5pt" o:hralign="center" o:hrstd="t" o:hr="t"/>
        </w:pict>
      </w:r>
    </w:p>
    <w:bookmarkEnd w:id="36"/>
    <w:bookmarkStart w:id="38" w:name="Xc93c48e9d2e9cdc375859c58c4929dc2e716eb6"/>
    <w:p>
      <w:pPr>
        <w:pStyle w:val="Heading1"/>
      </w:pPr>
      <w:r>
        <w:t xml:space="preserve">🟡 C-09 · Falta la matriz de trazabilidad</w:t>
      </w:r>
    </w:p>
    <w:p>
      <w:pPr>
        <w:pStyle w:val="FirstParagraph"/>
      </w:pPr>
      <w:r>
        <w:t xml:space="preserve">Las historias de usuario referencian casos de uso, pero</w:t>
      </w:r>
      <w:r>
        <w:t xml:space="preserve"> </w:t>
      </w:r>
      <w:r>
        <w:rPr>
          <w:b/>
          <w:bCs/>
        </w:rPr>
        <w:t xml:space="preserve">los requisitos funcionales no apuntan a nada</w:t>
      </w:r>
      <w:r>
        <w:t xml:space="preserve">. No existe una matriz que relacione historias, requisitos, requisitos no funcionales y casos de uso.</w:t>
      </w:r>
    </w:p>
    <w:bookmarkStart w:id="37" w:name="por-qué-importa-4"/>
    <w:p>
      <w:pPr>
        <w:pStyle w:val="Heading2"/>
      </w:pPr>
      <w:r>
        <w:t xml:space="preserve">Por qué importa</w:t>
      </w:r>
    </w:p>
    <w:p>
      <w:pPr>
        <w:pStyle w:val="FirstParagraph"/>
      </w:pPr>
      <w:r>
        <w:t xml:space="preserve">Es de lo primero que se revisa. Un requisito funcional sin caso de uso asociado indica una omisión en el modelo; un caso de uso sin requisito indica alcance no justificado.</w:t>
      </w:r>
    </w:p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construir la matriz una vez resuelto el C-01. Antes de fijar la numeración no tiene sentido hacerla.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os-mejoras-de-bajo-costo"/>
    <w:p>
      <w:pPr>
        <w:pStyle w:val="Heading1"/>
      </w:pPr>
      <w:r>
        <w:t xml:space="preserve">Dos mejoras de bajo costo</w:t>
      </w:r>
    </w:p>
    <w:p>
      <w:pPr>
        <w:pStyle w:val="FirstParagraph"/>
      </w:pPr>
      <w:r>
        <w:t xml:space="preserve">Ninguna es un conflicto, pero ambas suben el nivel del documento con poco trabajo:</w:t>
      </w:r>
    </w:p>
    <w:p>
      <w:pPr>
        <w:pStyle w:val="BodyText"/>
      </w:pPr>
      <w:r>
        <w:rPr>
          <w:b/>
          <w:bCs/>
        </w:rPr>
        <w:t xml:space="preserve">RNF-19</w:t>
      </w:r>
      <w:r>
        <w:t xml:space="preserve"> </w:t>
      </w:r>
      <w:r>
        <w:t xml:space="preserve">(confidencialidad del historial financiero) describe exactamente el aislamiento multi-tenant. Debería</w:t>
      </w:r>
      <w:r>
        <w:t xml:space="preserve"> </w:t>
      </w:r>
      <w:r>
        <w:rPr>
          <w:b/>
          <w:bCs/>
        </w:rPr>
        <w:t xml:space="preserve">referenciar el ADR-004 y las pruebas automatizadas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shared/tenant</w:t>
      </w:r>
      <w:r>
        <w:t xml:space="preserve">. Así deja de ser una declaración y pasa a ser algo verificable en vivo.</w:t>
      </w:r>
    </w:p>
    <w:p>
      <w:pPr>
        <w:pStyle w:val="BodyText"/>
      </w:pPr>
      <w:r>
        <w:rPr>
          <w:b/>
          <w:bCs/>
        </w:rPr>
        <w:t xml:space="preserve">RNF-10</w:t>
      </w:r>
      <w:r>
        <w:t xml:space="preserve"> </w:t>
      </w:r>
      <w:r>
        <w:t xml:space="preserve">(cumplimiento normativo) debería</w:t>
      </w:r>
      <w:r>
        <w:t xml:space="preserve"> </w:t>
      </w:r>
      <w:r>
        <w:rPr>
          <w:b/>
          <w:bCs/>
        </w:rPr>
        <w:t xml:space="preserve">nombrar la Ley 21.719</w:t>
      </w:r>
      <w:r>
        <w:t xml:space="preserve"> </w:t>
      </w:r>
      <w:r>
        <w:t xml:space="preserve">y su entrada en vigencia el 1 de diciembre de 2026 — durante el desarrollo del proyecto. Ya está investigado en el ADR-005. Citarlo lo vuelve concreto en lugar de genérico.</w:t>
      </w:r>
    </w:p>
    <w:p>
      <w:r>
        <w:pict>
          <v:rect style="width:0;height:1.5pt" o:hralign="center" o:hrstd="t" o:hr="t"/>
        </w:pict>
      </w:r>
    </w:p>
    <w:bookmarkEnd w:id="39"/>
    <w:bookmarkStart w:id="40" w:name="qué-no-está-en-conflicto"/>
    <w:p>
      <w:pPr>
        <w:pStyle w:val="Heading1"/>
      </w:pPr>
      <w:r>
        <w:t xml:space="preserve">Qué NO está en conflicto</w:t>
      </w:r>
    </w:p>
    <w:p>
      <w:pPr>
        <w:pStyle w:val="FirstParagraph"/>
      </w:pPr>
      <w:r>
        <w:t xml:space="preserve">Para no gastar tiempo de reunión en lo que ya coincide:</w:t>
      </w:r>
    </w:p>
    <w:p>
      <w:pPr>
        <w:pStyle w:val="Compact"/>
        <w:numPr>
          <w:ilvl w:val="0"/>
          <w:numId w:val="1005"/>
        </w:numPr>
      </w:pPr>
      <w:r>
        <w:t xml:space="preserve">La arquitectura de microservicios y el despliegue en Kubernetes</w:t>
      </w:r>
    </w:p>
    <w:p>
      <w:pPr>
        <w:pStyle w:val="Compact"/>
        <w:numPr>
          <w:ilvl w:val="0"/>
          <w:numId w:val="1005"/>
        </w:numPr>
      </w:pPr>
      <w:r>
        <w:t xml:space="preserve">Las notificaciones y alertas como funcionalidad central</w:t>
      </w:r>
    </w:p>
    <w:p>
      <w:pPr>
        <w:pStyle w:val="Compact"/>
        <w:numPr>
          <w:ilvl w:val="0"/>
          <w:numId w:val="1005"/>
        </w:numPr>
      </w:pPr>
      <w:r>
        <w:t xml:space="preserve">La lectura de correo como fuente de cobros</w:t>
      </w:r>
    </w:p>
    <w:p>
      <w:pPr>
        <w:pStyle w:val="Compact"/>
        <w:numPr>
          <w:ilvl w:val="0"/>
          <w:numId w:val="1005"/>
        </w:numPr>
      </w:pPr>
      <w:r>
        <w:t xml:space="preserve">El seguimiento del uso de servicios (RF-04 coincide con la tabla</w:t>
      </w:r>
      <w:r>
        <w:t xml:space="preserve"> </w:t>
      </w:r>
      <w:r>
        <w:rPr>
          <w:rStyle w:val="VerbatimChar"/>
        </w:rPr>
        <w:t xml:space="preserve">uso</w:t>
      </w:r>
      <w:r>
        <w:t xml:space="preserve"> </w:t>
      </w:r>
      <w:r>
        <w:t xml:space="preserve">del modelo de datos)</w:t>
      </w:r>
    </w:p>
    <w:p>
      <w:pPr>
        <w:pStyle w:val="Compact"/>
        <w:numPr>
          <w:ilvl w:val="0"/>
          <w:numId w:val="1005"/>
        </w:numPr>
      </w:pPr>
      <w:r>
        <w:t xml:space="preserve">El cifrado de datos financieros en reposo (RNF-03 coincide con el ADR-005)</w:t>
      </w:r>
    </w:p>
    <w:p>
      <w:pPr>
        <w:pStyle w:val="Compact"/>
        <w:numPr>
          <w:ilvl w:val="0"/>
          <w:numId w:val="1005"/>
        </w:numPr>
      </w:pPr>
      <w:r>
        <w:t xml:space="preserve">La degradación controlada ante fallos de terceros (RNF-16 coincide con los casos de uso de conectores)</w:t>
      </w:r>
    </w:p>
    <w:p>
      <w:pPr>
        <w:pStyle w:val="Compact"/>
        <w:numPr>
          <w:ilvl w:val="0"/>
          <w:numId w:val="1005"/>
        </w:numPr>
      </w:pPr>
      <w:r>
        <w:t xml:space="preserve">Los dos clientes, web y móvil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Start w:id="41" w:name="Xab0f962faa6a50071a18c21e2d2d88cbfbea82d"/>
    <w:p>
      <w:pPr>
        <w:pStyle w:val="Heading1"/>
      </w:pPr>
      <w:r>
        <w:t xml:space="preserve">Valores propuestos pendientes de ratificación · 5 de septiembre de 2026</w:t>
      </w:r>
    </w:p>
    <w:p>
      <w:pPr>
        <w:pStyle w:val="FirstParagraph"/>
      </w:pPr>
      <w:r>
        <w:t xml:space="preserve">Las correcciones de la evaluación SWEBOK (RNF sin métricas, RNF dobles, duplicidad RF-20/RNF-19, desagregación de RF-01, HU-03, RNF-15, eliminación vs. auditoría) ya están aplicadas en</w:t>
      </w:r>
      <w:r>
        <w:t xml:space="preserve"> </w:t>
      </w:r>
      <w:r>
        <w:rPr>
          <w:rStyle w:val="VerbatimChar"/>
        </w:rPr>
        <w:t xml:space="preserve">requisitos-vigentes.md</w:t>
      </w:r>
      <w:r>
        <w:t xml:space="preserve"> </w:t>
      </w:r>
      <w:r>
        <w:t xml:space="preserve">y en la matriz v1.1. Los valores concretos que las vuelven verificables son</w:t>
      </w:r>
      <w:r>
        <w:t xml:space="preserve"> </w:t>
      </w:r>
      <w:r>
        <w:rPr>
          <w:b/>
          <w:bCs/>
        </w:rPr>
        <w:t xml:space="preserve">propuestas por defecto</w:t>
      </w:r>
      <w:r>
        <w:t xml:space="preserve">: el docente fue explícito en que los niveles de calidad los decide el equipo. Ratificar o corregir en la próxima reunión: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Propuesta aplicada</w:t>
            </w:r>
          </w:p>
        </w:tc>
        <w:tc>
          <w:tcPr/>
          <w:p>
            <w:pPr>
              <w:pStyle w:val="Compact"/>
            </w:pPr>
            <w:r>
              <w:t xml:space="preserve">Valor por ratificar</w:t>
            </w:r>
          </w:p>
        </w:tc>
        <w:tc>
          <w:tcPr/>
          <w:p>
            <w:pPr>
              <w:pStyle w:val="Compact"/>
            </w:pPr>
            <w:r>
              <w:t xml:space="preserve">Dónde quedó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Métricas de RNF-07</w:t>
            </w:r>
          </w:p>
        </w:tc>
        <w:tc>
          <w:tcPr/>
          <w:p>
            <w:pPr>
              <w:pStyle w:val="Compact"/>
            </w:pPr>
            <w:r>
              <w:t xml:space="preserve">Conector nuevo: 0 líneas fuera de</w:t>
            </w:r>
            <w:r>
              <w:t xml:space="preserve"> </w:t>
            </w:r>
            <w:r>
              <w:rPr>
                <w:rStyle w:val="VerbatimChar"/>
              </w:rPr>
              <w:t xml:space="preserve">connectors</w:t>
            </w:r>
            <w:r>
              <w:t xml:space="preserve"> </w:t>
            </w:r>
            <w:r>
              <w:t xml:space="preserve">y ≤ 5 días-persona</w:t>
            </w:r>
          </w:p>
        </w:tc>
        <w:tc>
          <w:tcPr/>
          <w:p>
            <w:pPr>
              <w:pStyle w:val="Compact"/>
            </w:pPr>
            <w:r>
              <w:t xml:space="preserve">RNF-07, PNF-07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Métricas de RNF-09</w:t>
            </w:r>
          </w:p>
        </w:tc>
        <w:tc>
          <w:tcPr/>
          <w:p>
            <w:pPr>
              <w:pStyle w:val="Compact"/>
            </w:pPr>
            <w:r>
              <w:t xml:space="preserve">50 chats concurrentes, promedio ≤ 2,5 s, p95 ≤ 4 s, errores &lt; 1%</w:t>
            </w:r>
          </w:p>
        </w:tc>
        <w:tc>
          <w:tcPr/>
          <w:p>
            <w:pPr>
              <w:pStyle w:val="Compact"/>
            </w:pPr>
            <w:r>
              <w:t xml:space="preserve">RNF-09, PNF-09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Métricas de RNF-20</w:t>
            </w:r>
          </w:p>
        </w:tc>
        <w:tc>
          <w:tcPr/>
          <w:p>
            <w:pPr>
              <w:pStyle w:val="Compact"/>
            </w:pPr>
            <w:r>
              <w:t xml:space="preserve">≤ US$ 0,10/usuario activo/mes; tope individual US$ 0,50 y 200 llamadas de IA/mes</w:t>
            </w:r>
          </w:p>
        </w:tc>
        <w:tc>
          <w:tcPr/>
          <w:p>
            <w:pPr>
              <w:pStyle w:val="Compact"/>
            </w:pPr>
            <w:r>
              <w:t xml:space="preserve">RNF-20, PNF-20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Valores de los RNF desdoblados</w:t>
            </w:r>
          </w:p>
        </w:tc>
        <w:tc>
          <w:tcPr/>
          <w:p>
            <w:pPr>
              <w:pStyle w:val="Compact"/>
            </w:pPr>
            <w:r>
              <w:t xml:space="preserve">80% de usuarios nuevos en ≤ 3 min sin tutorial (05b); p95 ≤ 3 s (05a); lote de 200 tareas (04b); AES-256-GCM y cifrado de volumen (03a)</w:t>
            </w:r>
          </w:p>
        </w:tc>
        <w:tc>
          <w:tcPr/>
          <w:p>
            <w:pPr>
              <w:pStyle w:val="Compact"/>
            </w:pPr>
            <w:r>
              <w:t xml:space="preserve">RNF-03a a RNF-14b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RNF-08 alineado a solo Android</w:t>
            </w:r>
          </w:p>
        </w:tc>
        <w:tc>
          <w:tcPr/>
          <w:p>
            <w:pPr>
              <w:pStyle w:val="Compact"/>
            </w:pPr>
            <w:r>
              <w:t xml:space="preserve">Se retira iOS del texto, aplicando el ADR-006 ya aceptado</w:t>
            </w:r>
          </w:p>
        </w:tc>
        <w:tc>
          <w:tcPr/>
          <w:p>
            <w:pPr>
              <w:pStyle w:val="Compact"/>
            </w:pPr>
            <w:r>
              <w:t xml:space="preserve">RNF-08a, RNF-08b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TLS solo en los bordes</w:t>
            </w:r>
          </w:p>
        </w:tc>
        <w:tc>
          <w:tcPr/>
          <w:p>
            <w:pPr>
              <w:pStyle w:val="Compact"/>
            </w:pPr>
            <w:r>
              <w:t xml:space="preserve">RNF-03b exime el tráfico interno del clúster; el texto original no lo eximía</w:t>
            </w:r>
          </w:p>
        </w:tc>
        <w:tc>
          <w:tcPr/>
          <w:p>
            <w:pPr>
              <w:pStyle w:val="Compact"/>
            </w:pPr>
            <w:r>
              <w:t xml:space="preserve">RNF-03b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Regla de eliminación vs. auditoría (V-03)</w:t>
            </w:r>
          </w:p>
        </w:tc>
        <w:tc>
          <w:tcPr/>
          <w:p>
            <w:pPr>
              <w:pStyle w:val="Compact"/>
            </w:pPr>
            <w:r>
              <w:t xml:space="preserve">Anonimización irreversible en 72 h; purga a los 12 meses; comprobantes Premium 6 años</w:t>
            </w:r>
            <w:r>
              <w:t xml:space="preserve"> </w:t>
            </w:r>
            <w:r>
              <w:rPr>
                <w:b/>
                <w:bCs/>
              </w:rPr>
              <w:t xml:space="preserve">(base legal por validar)</w:t>
            </w:r>
            <w:r>
              <w:t xml:space="preserve">; consentimientos 6 años disociados</w:t>
            </w:r>
          </w:p>
        </w:tc>
        <w:tc>
          <w:tcPr/>
          <w:p>
            <w:pPr>
              <w:pStyle w:val="Compact"/>
            </w:pPr>
            <w:r>
              <w:t xml:space="preserve">RF-01.7, RNF-10, RNF-13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Valores de RF-01.1 a RF-01.6</w:t>
            </w:r>
          </w:p>
        </w:tc>
        <w:tc>
          <w:tcPr/>
          <w:p>
            <w:pPr>
              <w:pStyle w:val="Compact"/>
            </w:pPr>
            <w:r>
              <w:t xml:space="preserve">Contraseña ≥ 8 con letra y número; enlace de recuperación 60 min un solo uso; cierre de sesión efectivo ≤ 60 s</w:t>
            </w:r>
          </w:p>
        </w:tc>
        <w:tc>
          <w:tcPr/>
          <w:p>
            <w:pPr>
              <w:pStyle w:val="Compact"/>
            </w:pPr>
            <w:r>
              <w:t xml:space="preserve">RF-01.x, TC-53 a TC-69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RNF-19 redefinido</w:t>
            </w:r>
          </w:p>
        </w:tc>
        <w:tc>
          <w:tcPr/>
          <w:p>
            <w:pPr>
              <w:pStyle w:val="Compact"/>
            </w:pPr>
            <w:r>
              <w:t xml:space="preserve">Aislamiento verificado en capa de datos (ADR-004,</w:t>
            </w:r>
            <w:r>
              <w:t xml:space="preserve"> </w:t>
            </w:r>
            <w:r>
              <w:rPr>
                <w:rStyle w:val="VerbatimChar"/>
              </w:rPr>
              <w:t xml:space="preserve">shared/tenant</w:t>
            </w:r>
            <w:r>
              <w:t xml:space="preserve">) + registro de intentos cruzados</w:t>
            </w:r>
          </w:p>
        </w:tc>
        <w:tc>
          <w:tcPr/>
          <w:p>
            <w:pPr>
              <w:pStyle w:val="Compact"/>
            </w:pPr>
            <w:r>
              <w:t xml:space="preserve">RNF-19, PNF-19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Navegadores de RNF-15</w:t>
            </w:r>
          </w:p>
        </w:tc>
        <w:tc>
          <w:tcPr/>
          <w:p>
            <w:pPr>
              <w:pStyle w:val="Compact"/>
            </w:pPr>
            <w:r>
              <w:t xml:space="preserve">Chrome, Edge, Firefox y Safari, dos últimas versiones estables al inicio de la fase de pruebas de cada release</w:t>
            </w:r>
          </w:p>
        </w:tc>
        <w:tc>
          <w:tcPr/>
          <w:p>
            <w:pPr>
              <w:pStyle w:val="Compact"/>
            </w:pPr>
            <w:r>
              <w:t xml:space="preserve">RNF-15, PNF-15</w:t>
            </w:r>
          </w:p>
        </w:tc>
      </w:tr>
    </w:tbl>
    <w:p>
      <w:pPr>
        <w:pStyle w:val="BodyText"/>
      </w:pPr>
      <w:r>
        <w:rPr>
          <w:b/>
          <w:bCs/>
        </w:rPr>
        <w:t xml:space="preserve">Dos consecuencias técnicas que exigen acción aparte: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RF-01.6 requiere enmendar el ADR-004:</w:t>
      </w:r>
      <w:r>
        <w:t xml:space="preserve"> </w:t>
      </w:r>
      <w:r>
        <w:t xml:space="preserve">el cierre de sesión efectivo en ≤ 60 s necesita una lista de revocación de tokens (Redis) que el ADR-004 no contempla —hoy el gateway valida solo la firma JWT—. Alternativa sin tocar el ADR: redactar el criterio por TTL del token. Además RF-01.6 no tiene caso de uso propio en el catálogo.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Impacto en el MER:</w:t>
      </w:r>
      <w:r>
        <w:t xml:space="preserve"> </w:t>
      </w:r>
      <w:r>
        <w:t xml:space="preserve">RF-01.1 exige registrar el consentimiento (fecha, hora, versión) y RF-01.7 exige campos de anonimización en la tabla de auditoría. Pasar a la revisión del MER.</w:t>
      </w:r>
    </w:p>
    <w:p>
      <w:pPr>
        <w:pStyle w:val="FirstParagraph"/>
      </w:pPr>
      <w:r>
        <w:rPr>
          <w:b/>
          <w:bCs/>
        </w:rPr>
        <w:t xml:space="preserve">Divergencia menor detectada:</w:t>
      </w:r>
      <w:r>
        <w:t xml:space="preserve"> </w:t>
      </w:r>
      <w:r>
        <w:t xml:space="preserve">HU-04 dice «en menos de 3 segundos» absoluto y RNF-05a verifica por percentil 95; conviene alinear HU-04 al p95. Y el umbral de alza de tarifa difiere entre RF-07 («más de 5%») y RN-06 («5% o más»): fijar el caso límite.</w:t>
      </w:r>
    </w:p>
    <w:bookmarkEnd w:id="41"/>
    <w:bookmarkStart w:id="43" w:name="acta-de-la-reunión"/>
    <w:p>
      <w:pPr>
        <w:pStyle w:val="Heading1"/>
      </w:pPr>
      <w:r>
        <w:t xml:space="preserve">Acta de la reunión</w:t>
      </w:r>
    </w:p>
    <w:p>
      <w:pPr>
        <w:pStyle w:val="FirstParagraph"/>
      </w:pPr>
      <w:r>
        <w:t xml:space="preserve">Para completar durante la sesión: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Numeración de casos de uso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Sincronización bancaria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Usuario individual u hogar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Premium y asistente con 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C-05</w:t>
            </w:r>
          </w:p>
        </w:tc>
        <w:tc>
          <w:tcPr/>
          <w:p>
            <w:pPr>
              <w:pStyle w:val="Compact"/>
            </w:pPr>
            <w:r>
              <w:t xml:space="preserve">Nombre del proyecto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C-06</w:t>
            </w:r>
          </w:p>
        </w:tc>
        <w:tc>
          <w:tcPr/>
          <w:p>
            <w:pPr>
              <w:pStyle w:val="Compact"/>
            </w:pPr>
            <w:r>
              <w:t xml:space="preserve">RNF no verificables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C-07</w:t>
            </w:r>
          </w:p>
        </w:tc>
        <w:tc>
          <w:tcPr/>
          <w:p>
            <w:pPr>
              <w:pStyle w:val="Compact"/>
            </w:pPr>
            <w:r>
              <w:t xml:space="preserve">Casos de uso mal clasificados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C-08</w:t>
            </w:r>
          </w:p>
        </w:tc>
        <w:tc>
          <w:tcPr/>
          <w:p>
            <w:pPr>
              <w:pStyle w:val="Compact"/>
            </w:pPr>
            <w:r>
              <w:t xml:space="preserve">RF incompletos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C-09</w:t>
            </w:r>
          </w:p>
        </w:tc>
        <w:tc>
          <w:tcPr/>
          <w:p>
            <w:pPr>
              <w:pStyle w:val="Compact"/>
            </w:pPr>
            <w:r>
              <w:t xml:space="preserve">Matriz de trazabilidad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R-01 a R-10</w:t>
            </w:r>
          </w:p>
        </w:tc>
        <w:tc>
          <w:tcPr/>
          <w:p>
            <w:pPr>
              <w:pStyle w:val="Compact"/>
            </w:pPr>
            <w:r>
              <w:t xml:space="preserve">Valores propuestos el 5-09 (tabla anterior)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Enmienda al ADR-004 por RF-01.6 (o criterio por TTL)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42" w:name="orden-sugerido"/>
    <w:p>
      <w:pPr>
        <w:pStyle w:val="Heading2"/>
      </w:pPr>
      <w:r>
        <w:t xml:space="preserve">Orden sugerido</w:t>
      </w:r>
    </w:p>
    <w:p>
      <w:pPr>
        <w:pStyle w:val="FirstParagraph"/>
      </w:pPr>
      <w:r>
        <w:t xml:space="preserve">Resolver</w:t>
      </w:r>
      <w:r>
        <w:t xml:space="preserve"> </w:t>
      </w:r>
      <w:r>
        <w:rPr>
          <w:b/>
          <w:bCs/>
        </w:rPr>
        <w:t xml:space="preserve">C-03 primero</w:t>
      </w:r>
      <w:r>
        <w:t xml:space="preserve">. Es la decisión de la que dependen las demás: si el sistema es de usuario individual, cambia el modelo de datos, cambian varios casos de uso y se simplifica el alcance.</w:t>
      </w:r>
    </w:p>
    <w:p>
      <w:pPr>
        <w:pStyle w:val="BodyText"/>
      </w:pPr>
      <w:r>
        <w:t xml:space="preserve">Después</w:t>
      </w:r>
      <w:r>
        <w:t xml:space="preserve"> </w:t>
      </w:r>
      <w:r>
        <w:rPr>
          <w:b/>
          <w:bCs/>
        </w:rPr>
        <w:t xml:space="preserve">C-01 y C-02</w:t>
      </w:r>
      <w:r>
        <w:t xml:space="preserve">, que definen qué documentos hay que rehacer.</w:t>
      </w:r>
    </w:p>
    <w:p>
      <w:pPr>
        <w:pStyle w:val="BodyText"/>
      </w:pPr>
      <w:r>
        <w:t xml:space="preserve">El resto son ajustes que puede aplicar una persona sin volver a reunir al equipo.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Conflictos y decisiones — Ojo al Gasto</dc:title>
  <dc:creator/>
  <cp:keywords/>
  <dcterms:created xsi:type="dcterms:W3CDTF">2026-09-05T06:42:21Z</dcterms:created>
  <dcterms:modified xsi:type="dcterms:W3CDTF">2026-09-05T06:42:21Z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