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color w:val="888888"/>
          <w:sz w:val="30"/>
          <w:szCs w:val="30"/>
        </w:rPr>
        <w:t xml:space="preserve">ADR-005</w:t>
      </w:r>
    </w:p>
    <w:p>
      <w:pPr>
        <w:spacing w:after="130"/>
        <w:jc w:val="center"/>
      </w:pPr>
      <w:r>
        <w:rPr>
          <w:b/>
          <w:bCs/>
          <w:color w:val="1F3864"/>
          <w:sz w:val="42"/>
          <w:szCs w:val="42"/>
        </w:rPr>
        <w:t xml:space="preserve">ORIGEN DE LOS DATOS DE COBROS</w:t>
      </w:r>
    </w:p>
    <w:p>
      <w:pPr>
        <w:spacing w:after="560"/>
        <w:jc w:val="center"/>
      </w:pPr>
      <w:r>
        <w:rPr>
          <w:color w:val="555555"/>
          <w:sz w:val="25"/>
          <w:szCs w:val="25"/>
        </w:rPr>
        <w:t xml:space="preserve">Investigación del ámbito financiero: acceso a datos de cobros en Chile</w:t>
      </w:r>
    </w:p>
    <w:p>
      <w:pPr>
        <w:spacing w:after="70"/>
        <w:jc w:val="center"/>
      </w:pPr>
      <w:r>
        <w:rPr>
          <w:b/>
          <w:bCs/>
          <w:sz w:val="21"/>
          <w:szCs w:val="21"/>
        </w:rPr>
        <w:t xml:space="preserve">Proyecto: </w:t>
      </w:r>
      <w:r>
        <w:rPr>
          <w:sz w:val="21"/>
          <w:szCs w:val="21"/>
        </w:rPr>
        <w:t xml:space="preserve">Plataforma de control de suscripciones de pago</w:t>
      </w:r>
    </w:p>
    <w:p>
      <w:pPr>
        <w:spacing w:after="70"/>
        <w:jc w:val="center"/>
      </w:pPr>
      <w:r>
        <w:rPr>
          <w:b/>
          <w:bCs/>
          <w:sz w:val="21"/>
          <w:szCs w:val="21"/>
        </w:rPr>
        <w:t xml:space="preserve">Carrera: </w:t>
      </w:r>
      <w:r>
        <w:rPr>
          <w:sz w:val="21"/>
          <w:szCs w:val="21"/>
        </w:rPr>
        <w:t xml:space="preserve">Ingeniería Civil Informática</w:t>
      </w:r>
    </w:p>
    <w:p>
      <w:pPr>
        <w:spacing w:after="70"/>
        <w:jc w:val="center"/>
      </w:pPr>
      <w:r>
        <w:rPr>
          <w:b/>
          <w:bCs/>
          <w:sz w:val="21"/>
          <w:szCs w:val="21"/>
        </w:rPr>
        <w:t xml:space="preserve">Institución: </w:t>
      </w:r>
      <w:r>
        <w:rPr>
          <w:sz w:val="21"/>
          <w:szCs w:val="21"/>
        </w:rPr>
        <w:t xml:space="preserve">Universidad Católica de Temuco</w:t>
      </w:r>
    </w:p>
    <w:p>
      <w:pPr>
        <w:spacing w:after="70"/>
        <w:jc w:val="center"/>
      </w:pPr>
      <w:r>
        <w:rPr>
          <w:b/>
          <w:bCs/>
          <w:sz w:val="21"/>
          <w:szCs w:val="21"/>
        </w:rPr>
        <w:t xml:space="preserve">Estado: </w:t>
      </w:r>
      <w:r>
        <w:rPr>
          <w:sz w:val="21"/>
          <w:szCs w:val="21"/>
        </w:rPr>
        <w:t xml:space="preserve">Aceptada</w:t>
      </w:r>
    </w:p>
    <w:p>
      <w:pPr>
        <w:spacing w:after="70"/>
        <w:jc w:val="center"/>
      </w:pPr>
      <w:r>
        <w:rPr>
          <w:b/>
          <w:bCs/>
          <w:sz w:val="21"/>
          <w:szCs w:val="21"/>
        </w:rPr>
        <w:t xml:space="preserve">Fecha: </w:t>
      </w:r>
      <w:r>
        <w:rPr>
          <w:sz w:val="21"/>
          <w:szCs w:val="21"/>
        </w:rPr>
        <w:t xml:space="preserve">26 de agosto de 2026</w:t>
      </w:r>
    </w:p>
    <w:p>
      <w:r>
        <w:br w:type="page"/>
      </w:r>
    </w:p>
    <w:p>
      <w:pPr>
        <w:pStyle w:val="Heading1"/>
        <w:spacing w:after="200" w:before="380"/>
      </w:pPr>
      <w:r>
        <w:rPr>
          <w:b/>
          <w:bCs/>
          <w:color w:val="1F3864"/>
          <w:sz w:val="32"/>
          <w:szCs w:val="32"/>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after="140" w:line="300"/>
        <w:jc w:val="left"/>
      </w:pPr>
      <w:r>
        <w:rPr>
          <w:i/>
          <w:iCs/>
          <w:color w:val="777777"/>
          <w:sz w:val="18"/>
          <w:szCs w:val="18"/>
        </w:rPr>
        <w:t xml:space="preserve">Para actualizar: clic derecho sobre el índice → Actualizar campos → Actualizar toda la tabla.</w:t>
      </w:r>
    </w:p>
    <w:p>
      <w:r>
        <w:br w:type="page"/>
      </w:r>
    </w:p>
    <w:p>
      <w:pPr>
        <w:pStyle w:val="Heading1"/>
        <w:spacing w:after="200" w:before="380"/>
      </w:pPr>
      <w:r>
        <w:rPr>
          <w:b/>
          <w:bCs/>
          <w:color w:val="1F3864"/>
          <w:sz w:val="32"/>
          <w:szCs w:val="32"/>
        </w:rPr>
        <w:t xml:space="preserve">Contexto</w:t>
      </w:r>
    </w:p>
    <w:p>
      <w:pPr>
        <w:spacing w:after="140" w:line="300"/>
        <w:jc w:val="both"/>
      </w:pPr>
      <w:r>
        <w:t xml:space="preserve">La funcionalidad más demandada en la encuesta aplicada fue el aviso previo a cada cobro, señalada por el 76,3% de los encuestados (n = 38), seguida por la alerta ante el término de una prueba gratuita, con un 60,5%. Ambas exigen que el sistema conozca con antelación cuándo se producirá el cobro.</w:t>
      </w:r>
    </w:p>
    <w:p>
      <w:pPr>
        <w:spacing w:after="140" w:line="300"/>
        <w:jc w:val="both"/>
      </w:pPr>
      <w:r>
        <w:t xml:space="preserve">Ello convierte el origen de los datos de cobro en una decisión de arquitectura y no en un detalle de implementación: sin una fuente de cobros no existe producto.</w:t>
      </w:r>
    </w:p>
    <w:p>
      <w:pPr>
        <w:spacing w:after="140" w:line="300"/>
        <w:jc w:val="both"/>
      </w:pPr>
      <w:r>
        <w:t xml:space="preserve">Se evaluaron cuatro vías de obtención de dicha información.</w:t>
      </w:r>
    </w:p>
    <w:p>
      <w:pPr>
        <w:pStyle w:val="Heading1"/>
        <w:spacing w:after="200" w:before="380"/>
      </w:pPr>
      <w:r>
        <w:rPr>
          <w:b/>
          <w:bCs/>
          <w:color w:val="1F3864"/>
          <w:sz w:val="32"/>
          <w:szCs w:val="32"/>
        </w:rPr>
        <w:t xml:space="preserve">1. Las cuatro vías comparadas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1300"/>
        <w:gridCol w:w="1500"/>
        <w:gridCol w:w="1500"/>
        <w:gridCol w:w="2360"/>
      </w:tblGrid>
      <w:tr>
        <w:trPr>
          <w:tblHeader/>
        </w:trPr>
        <w:tc>
          <w:tcPr>
            <w:tcW w:type="dxa" w:w="2700"/>
            <w:shd w:fill="DEEAF6" w:color="auto" w:val="clear"/>
            <w:tcMar>
              <w:top w:type="dxa" w:w="70"/>
              <w:left w:type="dxa" w:w="110"/>
              <w:bottom w:type="dxa" w:w="70"/>
              <w:right w:type="dxa" w:w="110"/>
            </w:tcMar>
          </w:tcPr>
          <w:p>
            <w:pPr>
              <w:spacing w:after="0" w:line="252"/>
            </w:pPr>
            <w:r>
              <w:rPr>
                <w:b/>
                <w:bCs/>
                <w:sz w:val="19"/>
                <w:szCs w:val="19"/>
              </w:rPr>
              <w:t xml:space="preserve">Vía</w:t>
            </w:r>
          </w:p>
        </w:tc>
        <w:tc>
          <w:tcPr>
            <w:tcW w:type="dxa" w:w="1300"/>
            <w:shd w:fill="DEEAF6" w:color="auto" w:val="clear"/>
            <w:tcMar>
              <w:top w:type="dxa" w:w="70"/>
              <w:left w:type="dxa" w:w="110"/>
              <w:bottom w:type="dxa" w:w="70"/>
              <w:right w:type="dxa" w:w="110"/>
            </w:tcMar>
          </w:tcPr>
          <w:p>
            <w:pPr>
              <w:spacing w:after="0" w:line="252"/>
            </w:pPr>
            <w:r>
              <w:rPr>
                <w:b/>
                <w:bCs/>
                <w:sz w:val="19"/>
                <w:szCs w:val="19"/>
              </w:rPr>
              <w:t xml:space="preserve">Costo</w:t>
            </w:r>
          </w:p>
        </w:tc>
        <w:tc>
          <w:tcPr>
            <w:tcW w:type="dxa" w:w="1500"/>
            <w:shd w:fill="DEEAF6" w:color="auto" w:val="clear"/>
            <w:tcMar>
              <w:top w:type="dxa" w:w="70"/>
              <w:left w:type="dxa" w:w="110"/>
              <w:bottom w:type="dxa" w:w="70"/>
              <w:right w:type="dxa" w:w="110"/>
            </w:tcMar>
          </w:tcPr>
          <w:p>
            <w:pPr>
              <w:spacing w:after="0" w:line="252"/>
            </w:pPr>
            <w:r>
              <w:rPr>
                <w:b/>
                <w:bCs/>
                <w:sz w:val="19"/>
                <w:szCs w:val="19"/>
              </w:rPr>
              <w:t xml:space="preserve">Esfuerzo</w:t>
            </w:r>
          </w:p>
        </w:tc>
        <w:tc>
          <w:tcPr>
            <w:tcW w:type="dxa" w:w="1500"/>
            <w:shd w:fill="DEEAF6" w:color="auto" w:val="clear"/>
            <w:tcMar>
              <w:top w:type="dxa" w:w="70"/>
              <w:left w:type="dxa" w:w="110"/>
              <w:bottom w:type="dxa" w:w="70"/>
              <w:right w:type="dxa" w:w="110"/>
            </w:tcMar>
          </w:tcPr>
          <w:p>
            <w:pPr>
              <w:spacing w:after="0" w:line="252"/>
            </w:pPr>
            <w:r>
              <w:rPr>
                <w:b/>
                <w:bCs/>
                <w:sz w:val="19"/>
                <w:szCs w:val="19"/>
              </w:rPr>
              <w:t xml:space="preserve">Riesgo legal</w:t>
            </w:r>
          </w:p>
        </w:tc>
        <w:tc>
          <w:tcPr>
            <w:tcW w:type="dxa" w:w="2360"/>
            <w:shd w:fill="DEEAF6" w:color="auto" w:val="clear"/>
            <w:tcMar>
              <w:top w:type="dxa" w:w="70"/>
              <w:left w:type="dxa" w:w="110"/>
              <w:bottom w:type="dxa" w:w="70"/>
              <w:right w:type="dxa" w:w="110"/>
            </w:tcMar>
          </w:tcPr>
          <w:p>
            <w:pPr>
              <w:spacing w:after="0" w:line="252"/>
            </w:pPr>
            <w:r>
              <w:rPr>
                <w:b/>
                <w:bCs/>
                <w:sz w:val="19"/>
                <w:szCs w:val="19"/>
              </w:rPr>
              <w:t xml:space="preserve">Disponible en el semestre</w:t>
            </w:r>
          </w:p>
        </w:tc>
      </w:tr>
      <w:tr>
        <w:tc>
          <w:tcPr>
            <w:tcW w:type="dxa" w:w="2700"/>
            <w:tcMar>
              <w:top w:type="dxa" w:w="70"/>
              <w:left w:type="dxa" w:w="110"/>
              <w:bottom w:type="dxa" w:w="70"/>
              <w:right w:type="dxa" w:w="110"/>
            </w:tcMar>
          </w:tcPr>
          <w:p>
            <w:pPr>
              <w:spacing w:after="0" w:line="252"/>
            </w:pPr>
            <w:r>
              <w:rPr>
                <w:sz w:val="19"/>
                <w:szCs w:val="19"/>
              </w:rPr>
              <w:t xml:space="preserve">Entrada manual e importación CSV</w:t>
            </w:r>
          </w:p>
        </w:tc>
        <w:tc>
          <w:tcPr>
            <w:tcW w:type="dxa" w:w="1300"/>
            <w:tcMar>
              <w:top w:type="dxa" w:w="70"/>
              <w:left w:type="dxa" w:w="110"/>
              <w:bottom w:type="dxa" w:w="70"/>
              <w:right w:type="dxa" w:w="110"/>
            </w:tcMar>
          </w:tcPr>
          <w:p>
            <w:pPr>
              <w:spacing w:after="0" w:line="252"/>
            </w:pPr>
            <w:r>
              <w:rPr>
                <w:b w:val="false"/>
                <w:bCs w:val="false"/>
                <w:sz w:val="19"/>
                <w:szCs w:val="19"/>
              </w:rPr>
              <w:t xml:space="preserve">Nulo</w:t>
            </w:r>
          </w:p>
        </w:tc>
        <w:tc>
          <w:tcPr>
            <w:tcW w:type="dxa" w:w="1500"/>
            <w:tcMar>
              <w:top w:type="dxa" w:w="70"/>
              <w:left w:type="dxa" w:w="110"/>
              <w:bottom w:type="dxa" w:w="70"/>
              <w:right w:type="dxa" w:w="110"/>
            </w:tcMar>
          </w:tcPr>
          <w:p>
            <w:pPr>
              <w:spacing w:after="0" w:line="252"/>
            </w:pPr>
            <w:r>
              <w:rPr>
                <w:b w:val="false"/>
                <w:bCs w:val="false"/>
                <w:sz w:val="19"/>
                <w:szCs w:val="19"/>
              </w:rPr>
              <w:t xml:space="preserve">Bajo</w:t>
            </w:r>
          </w:p>
        </w:tc>
        <w:tc>
          <w:tcPr>
            <w:tcW w:type="dxa" w:w="1500"/>
            <w:tcMar>
              <w:top w:type="dxa" w:w="70"/>
              <w:left w:type="dxa" w:w="110"/>
              <w:bottom w:type="dxa" w:w="70"/>
              <w:right w:type="dxa" w:w="110"/>
            </w:tcMar>
          </w:tcPr>
          <w:p>
            <w:pPr>
              <w:spacing w:after="0" w:line="252"/>
            </w:pPr>
            <w:r>
              <w:rPr>
                <w:b w:val="false"/>
                <w:bCs w:val="false"/>
                <w:sz w:val="19"/>
                <w:szCs w:val="19"/>
              </w:rPr>
              <w:t xml:space="preserve">Ninguno</w:t>
            </w:r>
          </w:p>
        </w:tc>
        <w:tc>
          <w:tcPr>
            <w:tcW w:type="dxa" w:w="2360"/>
            <w:tcMar>
              <w:top w:type="dxa" w:w="70"/>
              <w:left w:type="dxa" w:w="110"/>
              <w:bottom w:type="dxa" w:w="70"/>
              <w:right w:type="dxa" w:w="110"/>
            </w:tcMar>
          </w:tcPr>
          <w:p>
            <w:pPr>
              <w:spacing w:after="0" w:line="252"/>
            </w:pPr>
            <w:r>
              <w:rPr>
                <w:b w:val="false"/>
                <w:bCs w:val="false"/>
                <w:sz w:val="19"/>
                <w:szCs w:val="19"/>
              </w:rPr>
              <w:t xml:space="preserve">Sí</w:t>
            </w:r>
          </w:p>
        </w:tc>
      </w:tr>
      <w:tr>
        <w:tc>
          <w:tcPr>
            <w:tcW w:type="dxa" w:w="2700"/>
            <w:tcMar>
              <w:top w:type="dxa" w:w="70"/>
              <w:left w:type="dxa" w:w="110"/>
              <w:bottom w:type="dxa" w:w="70"/>
              <w:right w:type="dxa" w:w="110"/>
            </w:tcMar>
          </w:tcPr>
          <w:p>
            <w:pPr>
              <w:spacing w:after="0" w:line="252"/>
            </w:pPr>
            <w:r>
              <w:rPr>
                <w:sz w:val="19"/>
                <w:szCs w:val="19"/>
              </w:rPr>
              <w:t xml:space="preserve">Lectura de correo electrónico</w:t>
            </w:r>
          </w:p>
        </w:tc>
        <w:tc>
          <w:tcPr>
            <w:tcW w:type="dxa" w:w="1300"/>
            <w:tcMar>
              <w:top w:type="dxa" w:w="70"/>
              <w:left w:type="dxa" w:w="110"/>
              <w:bottom w:type="dxa" w:w="70"/>
              <w:right w:type="dxa" w:w="110"/>
            </w:tcMar>
          </w:tcPr>
          <w:p>
            <w:pPr>
              <w:spacing w:after="0" w:line="252"/>
            </w:pPr>
            <w:r>
              <w:rPr>
                <w:b w:val="false"/>
                <w:bCs w:val="false"/>
                <w:sz w:val="19"/>
                <w:szCs w:val="19"/>
              </w:rPr>
              <w:t xml:space="preserve">Nulo</w:t>
            </w:r>
          </w:p>
        </w:tc>
        <w:tc>
          <w:tcPr>
            <w:tcW w:type="dxa" w:w="1500"/>
            <w:tcMar>
              <w:top w:type="dxa" w:w="70"/>
              <w:left w:type="dxa" w:w="110"/>
              <w:bottom w:type="dxa" w:w="70"/>
              <w:right w:type="dxa" w:w="110"/>
            </w:tcMar>
          </w:tcPr>
          <w:p>
            <w:pPr>
              <w:spacing w:after="0" w:line="252"/>
            </w:pPr>
            <w:r>
              <w:rPr>
                <w:b w:val="false"/>
                <w:bCs w:val="false"/>
                <w:sz w:val="19"/>
                <w:szCs w:val="19"/>
              </w:rPr>
              <w:t xml:space="preserve">Medio-alto</w:t>
            </w:r>
          </w:p>
        </w:tc>
        <w:tc>
          <w:tcPr>
            <w:tcW w:type="dxa" w:w="1500"/>
            <w:tcMar>
              <w:top w:type="dxa" w:w="70"/>
              <w:left w:type="dxa" w:w="110"/>
              <w:bottom w:type="dxa" w:w="70"/>
              <w:right w:type="dxa" w:w="110"/>
            </w:tcMar>
          </w:tcPr>
          <w:p>
            <w:pPr>
              <w:spacing w:after="0" w:line="252"/>
            </w:pPr>
            <w:r>
              <w:rPr>
                <w:b w:val="false"/>
                <w:bCs w:val="false"/>
                <w:sz w:val="19"/>
                <w:szCs w:val="19"/>
              </w:rPr>
              <w:t xml:space="preserve">Medio</w:t>
            </w:r>
          </w:p>
        </w:tc>
        <w:tc>
          <w:tcPr>
            <w:tcW w:type="dxa" w:w="2360"/>
            <w:tcMar>
              <w:top w:type="dxa" w:w="70"/>
              <w:left w:type="dxa" w:w="110"/>
              <w:bottom w:type="dxa" w:w="70"/>
              <w:right w:type="dxa" w:w="110"/>
            </w:tcMar>
          </w:tcPr>
          <w:p>
            <w:pPr>
              <w:spacing w:after="0" w:line="252"/>
            </w:pPr>
            <w:r>
              <w:rPr>
                <w:b w:val="false"/>
                <w:bCs w:val="false"/>
                <w:sz w:val="19"/>
                <w:szCs w:val="19"/>
              </w:rPr>
              <w:t xml:space="preserve">Sí, con límites</w:t>
            </w:r>
          </w:p>
        </w:tc>
      </w:tr>
      <w:tr>
        <w:tc>
          <w:tcPr>
            <w:tcW w:type="dxa" w:w="2700"/>
            <w:tcMar>
              <w:top w:type="dxa" w:w="70"/>
              <w:left w:type="dxa" w:w="110"/>
              <w:bottom w:type="dxa" w:w="70"/>
              <w:right w:type="dxa" w:w="110"/>
            </w:tcMar>
          </w:tcPr>
          <w:p>
            <w:pPr>
              <w:spacing w:after="0" w:line="252"/>
            </w:pPr>
            <w:r>
              <w:rPr>
                <w:sz w:val="19"/>
                <w:szCs w:val="19"/>
              </w:rPr>
              <w:t xml:space="preserve">Agregación bancaria</w:t>
            </w:r>
          </w:p>
        </w:tc>
        <w:tc>
          <w:tcPr>
            <w:tcW w:type="dxa" w:w="1300"/>
            <w:tcMar>
              <w:top w:type="dxa" w:w="70"/>
              <w:left w:type="dxa" w:w="110"/>
              <w:bottom w:type="dxa" w:w="70"/>
              <w:right w:type="dxa" w:w="110"/>
            </w:tcMar>
          </w:tcPr>
          <w:p>
            <w:pPr>
              <w:spacing w:after="0" w:line="252"/>
            </w:pPr>
            <w:r>
              <w:rPr>
                <w:b w:val="false"/>
                <w:bCs w:val="false"/>
                <w:sz w:val="19"/>
                <w:szCs w:val="19"/>
              </w:rPr>
              <w:t xml:space="preserve">Alto</w:t>
            </w:r>
          </w:p>
        </w:tc>
        <w:tc>
          <w:tcPr>
            <w:tcW w:type="dxa" w:w="1500"/>
            <w:tcMar>
              <w:top w:type="dxa" w:w="70"/>
              <w:left w:type="dxa" w:w="110"/>
              <w:bottom w:type="dxa" w:w="70"/>
              <w:right w:type="dxa" w:w="110"/>
            </w:tcMar>
          </w:tcPr>
          <w:p>
            <w:pPr>
              <w:spacing w:after="0" w:line="252"/>
            </w:pPr>
            <w:r>
              <w:rPr>
                <w:b w:val="false"/>
                <w:bCs w:val="false"/>
                <w:sz w:val="19"/>
                <w:szCs w:val="19"/>
              </w:rPr>
              <w:t xml:space="preserve">Medio</w:t>
            </w:r>
          </w:p>
        </w:tc>
        <w:tc>
          <w:tcPr>
            <w:tcW w:type="dxa" w:w="1500"/>
            <w:tcMar>
              <w:top w:type="dxa" w:w="70"/>
              <w:left w:type="dxa" w:w="110"/>
              <w:bottom w:type="dxa" w:w="70"/>
              <w:right w:type="dxa" w:w="110"/>
            </w:tcMar>
          </w:tcPr>
          <w:p>
            <w:pPr>
              <w:spacing w:after="0" w:line="252"/>
            </w:pPr>
            <w:r>
              <w:rPr>
                <w:b w:val="false"/>
                <w:bCs w:val="false"/>
                <w:sz w:val="19"/>
                <w:szCs w:val="19"/>
              </w:rPr>
              <w:t xml:space="preserve">Alto</w:t>
            </w:r>
          </w:p>
        </w:tc>
        <w:tc>
          <w:tcPr>
            <w:tcW w:type="dxa" w:w="2360"/>
            <w:tcMar>
              <w:top w:type="dxa" w:w="70"/>
              <w:left w:type="dxa" w:w="110"/>
              <w:bottom w:type="dxa" w:w="70"/>
              <w:right w:type="dxa" w:w="110"/>
            </w:tcMar>
          </w:tcPr>
          <w:p>
            <w:pPr>
              <w:spacing w:after="0" w:line="252"/>
            </w:pPr>
            <w:r>
              <w:rPr>
                <w:b w:val="false"/>
                <w:bCs w:val="false"/>
                <w:sz w:val="19"/>
                <w:szCs w:val="19"/>
              </w:rPr>
              <w:t xml:space="preserve">Solo entorno de prueba</w:t>
            </w:r>
          </w:p>
        </w:tc>
      </w:tr>
      <w:tr>
        <w:tc>
          <w:tcPr>
            <w:tcW w:type="dxa" w:w="2700"/>
            <w:tcMar>
              <w:top w:type="dxa" w:w="70"/>
              <w:left w:type="dxa" w:w="110"/>
              <w:bottom w:type="dxa" w:w="70"/>
              <w:right w:type="dxa" w:w="110"/>
            </w:tcMar>
          </w:tcPr>
          <w:p>
            <w:pPr>
              <w:spacing w:after="0" w:line="252"/>
            </w:pPr>
            <w:r>
              <w:rPr>
                <w:sz w:val="19"/>
                <w:szCs w:val="19"/>
              </w:rPr>
              <w:t xml:space="preserve">Sistema de Finanzas Abiertas</w:t>
            </w:r>
          </w:p>
        </w:tc>
        <w:tc>
          <w:tcPr>
            <w:tcW w:type="dxa" w:w="1300"/>
            <w:tcMar>
              <w:top w:type="dxa" w:w="70"/>
              <w:left w:type="dxa" w:w="110"/>
              <w:bottom w:type="dxa" w:w="70"/>
              <w:right w:type="dxa" w:w="110"/>
            </w:tcMar>
          </w:tcPr>
          <w:p>
            <w:pPr>
              <w:spacing w:after="0" w:line="252"/>
            </w:pPr>
            <w:r>
              <w:rPr>
                <w:b w:val="false"/>
                <w:bCs w:val="false"/>
                <w:sz w:val="19"/>
                <w:szCs w:val="19"/>
              </w:rPr>
              <w:t xml:space="preserve">Por definir</w:t>
            </w:r>
          </w:p>
        </w:tc>
        <w:tc>
          <w:tcPr>
            <w:tcW w:type="dxa" w:w="1500"/>
            <w:tcMar>
              <w:top w:type="dxa" w:w="70"/>
              <w:left w:type="dxa" w:w="110"/>
              <w:bottom w:type="dxa" w:w="70"/>
              <w:right w:type="dxa" w:w="110"/>
            </w:tcMar>
          </w:tcPr>
          <w:p>
            <w:pPr>
              <w:spacing w:after="0" w:line="252"/>
            </w:pPr>
            <w:r>
              <w:rPr>
                <w:b w:val="false"/>
                <w:bCs w:val="false"/>
                <w:sz w:val="19"/>
                <w:szCs w:val="19"/>
              </w:rPr>
              <w:t xml:space="preserve">—</w:t>
            </w:r>
          </w:p>
        </w:tc>
        <w:tc>
          <w:tcPr>
            <w:tcW w:type="dxa" w:w="1500"/>
            <w:tcMar>
              <w:top w:type="dxa" w:w="70"/>
              <w:left w:type="dxa" w:w="110"/>
              <w:bottom w:type="dxa" w:w="70"/>
              <w:right w:type="dxa" w:w="110"/>
            </w:tcMar>
          </w:tcPr>
          <w:p>
            <w:pPr>
              <w:spacing w:after="0" w:line="252"/>
            </w:pPr>
            <w:r>
              <w:rPr>
                <w:b w:val="false"/>
                <w:bCs w:val="false"/>
                <w:sz w:val="19"/>
                <w:szCs w:val="19"/>
              </w:rPr>
              <w:t xml:space="preserve">Regulado</w:t>
            </w:r>
          </w:p>
        </w:tc>
        <w:tc>
          <w:tcPr>
            <w:tcW w:type="dxa" w:w="2360"/>
            <w:tcMar>
              <w:top w:type="dxa" w:w="70"/>
              <w:left w:type="dxa" w:w="110"/>
              <w:bottom w:type="dxa" w:w="70"/>
              <w:right w:type="dxa" w:w="110"/>
            </w:tcMar>
          </w:tcPr>
          <w:p>
            <w:pPr>
              <w:spacing w:after="0" w:line="252"/>
            </w:pPr>
            <w:r>
              <w:rPr>
                <w:b w:val="false"/>
                <w:bCs w:val="false"/>
                <w:sz w:val="19"/>
                <w:szCs w:val="19"/>
              </w:rPr>
              <w:t xml:space="preserve">No</w:t>
            </w:r>
          </w:p>
        </w:tc>
      </w:tr>
    </w:tbl>
    <w:p>
      <w:pPr>
        <w:pStyle w:val="Heading2"/>
        <w:spacing w:after="140" w:before="300"/>
      </w:pPr>
      <w:r>
        <w:rPr>
          <w:b/>
          <w:bCs/>
          <w:color w:val="1F3864"/>
          <w:sz w:val="26"/>
          <w:szCs w:val="26"/>
        </w:rPr>
        <w:t xml:space="preserve">1.1 Entrada manual e importación CSV</w:t>
      </w:r>
    </w:p>
    <w:p>
      <w:pPr>
        <w:spacing w:after="140" w:line="300"/>
        <w:jc w:val="both"/>
      </w:pPr>
      <w:r>
        <w:t xml:space="preserve">No presenta costo, dependencias externas ni exposición regulatoria. Su debilidad es conocida: exige que el usuario mantenga la información actualizada.</w:t>
      </w:r>
    </w:p>
    <w:p>
      <w:pPr>
        <w:pBdr>
          <w:left w:val="single" w:color="BF9000" w:sz="14" w:space="12"/>
        </w:pBdr>
        <w:shd w:fill="FFF2CC" w:color="auto" w:val="clear"/>
        <w:spacing w:after="170" w:before="170" w:line="300"/>
        <w:ind w:left="300" w:right="300"/>
        <w:jc w:val="both"/>
      </w:pPr>
      <w:r>
        <w:rPr>
          <w:b/>
          <w:bCs/>
          <w:sz w:val="21"/>
          <w:szCs w:val="21"/>
        </w:rPr>
        <w:t xml:space="preserve">Constituye el piso obligatorio del sistema. Cualquier otra vía puede fallar —una interfaz externa deja de responder, un conector se desautoriza— y la aplicación debe seguir siendo utilizable. Ninguna funcionalidad debe depender exclusivamente de un conector.</w:t>
      </w:r>
    </w:p>
    <w:p>
      <w:pPr>
        <w:pStyle w:val="Heading2"/>
        <w:spacing w:after="140" w:before="300"/>
      </w:pPr>
      <w:r>
        <w:rPr>
          <w:b/>
          <w:bCs/>
          <w:color w:val="1F3864"/>
          <w:sz w:val="26"/>
          <w:szCs w:val="26"/>
        </w:rPr>
        <w:t xml:space="preserve">1.2 Lectura de correo electrónico</w:t>
      </w:r>
    </w:p>
    <w:p>
      <w:pPr>
        <w:spacing w:after="140" w:line="300"/>
        <w:jc w:val="both"/>
      </w:pPr>
      <w:r>
        <w:t xml:space="preserve">Se aborda en detalle en la línea de trabajo correspondiente al conector de correo. Para efectos de esta decisión, presenta dos restricciones relevantes:</w:t>
      </w:r>
    </w:p>
    <w:p>
      <w:pPr>
        <w:spacing w:after="80" w:line="288"/>
        <w:ind w:left="460" w:hanging="240"/>
        <w:jc w:val="both"/>
      </w:pPr>
      <w:r>
        <w:t xml:space="preserve">—	Cobertura parcial. Detecta únicamente cobros de servicios que emiten comprobante por correo, y el formato de dichos comprobantes varía según el proveedor.</w:t>
      </w:r>
    </w:p>
    <w:p>
      <w:pPr>
        <w:spacing w:after="80" w:line="288"/>
        <w:ind w:left="460" w:hanging="240"/>
        <w:jc w:val="both"/>
      </w:pPr>
      <w:r>
        <w:t xml:space="preserve">—	Alcance restringido. La lectura del buzón constituye un permiso sensible para el proveedor de correo. Las aplicaciones en estado de prueba admiten un número acotado de usuarios sin proceso de verificación; su publicación abierta exige una evaluación de seguridad.</w:t>
      </w:r>
    </w:p>
    <w:p>
      <w:pPr>
        <w:pBdr>
          <w:left w:val="single" w:color="1F3864" w:sz="12" w:space="10"/>
        </w:pBdr>
        <w:spacing w:after="170" w:before="130" w:line="276"/>
        <w:ind w:left="340"/>
        <w:jc w:val="both"/>
      </w:pPr>
      <w:r>
        <w:rPr>
          <w:i/>
          <w:iCs/>
          <w:color w:val="444444"/>
          <w:sz w:val="20"/>
          <w:szCs w:val="20"/>
        </w:rPr>
        <w:t xml:space="preserve">Las condiciones y límites vigentes deben confirmarse en la consola del proveedor antes de comprometer alcance. Para un proyecto universitario con usuarios de prueba, el modo restringido resulta suficiente.</w:t>
      </w:r>
    </w:p>
    <w:p>
      <w:r>
        <w:br w:type="page"/>
      </w:r>
    </w:p>
    <w:p>
      <w:pPr>
        <w:pStyle w:val="Heading1"/>
        <w:spacing w:after="200" w:before="380"/>
      </w:pPr>
      <w:r>
        <w:rPr>
          <w:b/>
          <w:bCs/>
          <w:color w:val="1F3864"/>
          <w:sz w:val="32"/>
          <w:szCs w:val="32"/>
        </w:rPr>
        <w:t xml:space="preserve">2. Estado de la agregación bancaria en Chile</w:t>
      </w:r>
    </w:p>
    <w:p>
      <w:pPr>
        <w:spacing w:after="140" w:line="300"/>
        <w:jc w:val="both"/>
      </w:pPr>
      <w:r>
        <w:t xml:space="preserve">Dos proveedores operan en el mercado chileno con producto maduro. Las condiciones que se detallan fueron verificadas el 26 de agosto de 2026.</w:t>
      </w:r>
    </w:p>
    <w:p>
      <w:pPr>
        <w:pStyle w:val="Heading2"/>
        <w:spacing w:after="140" w:before="300"/>
      </w:pPr>
      <w:r>
        <w:rPr>
          <w:b/>
          <w:bCs/>
          <w:color w:val="1F3864"/>
          <w:sz w:val="26"/>
          <w:szCs w:val="26"/>
        </w:rPr>
        <w:t xml:space="preserve">2.1 Fintoc</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DEEAF6" w:color="auto" w:val="clear"/>
            <w:tcMar>
              <w:top w:type="dxa" w:w="70"/>
              <w:left w:type="dxa" w:w="110"/>
              <w:bottom w:type="dxa" w:w="70"/>
              <w:right w:type="dxa" w:w="110"/>
            </w:tcMar>
          </w:tcPr>
          <w:p>
            <w:pPr>
              <w:spacing w:after="0" w:line="252"/>
            </w:pPr>
            <w:r>
              <w:rPr>
                <w:b/>
                <w:bCs/>
                <w:sz w:val="19"/>
                <w:szCs w:val="19"/>
              </w:rPr>
              <w:t xml:space="preserve">Aspecto</w:t>
            </w:r>
          </w:p>
        </w:tc>
        <w:tc>
          <w:tcPr>
            <w:tcW w:type="dxa" w:w="6160"/>
            <w:shd w:fill="DEEAF6" w:color="auto" w:val="clear"/>
            <w:tcMar>
              <w:top w:type="dxa" w:w="70"/>
              <w:left w:type="dxa" w:w="110"/>
              <w:bottom w:type="dxa" w:w="70"/>
              <w:right w:type="dxa" w:w="110"/>
            </w:tcMar>
          </w:tcPr>
          <w:p>
            <w:pPr>
              <w:spacing w:after="0" w:line="252"/>
            </w:pPr>
            <w:r>
              <w:rPr>
                <w:b/>
                <w:bCs/>
                <w:sz w:val="19"/>
                <w:szCs w:val="19"/>
              </w:rPr>
              <w:t xml:space="preserve">Condición</w:t>
            </w:r>
          </w:p>
        </w:tc>
      </w:tr>
      <w:tr>
        <w:tc>
          <w:tcPr>
            <w:tcW w:type="dxa" w:w="3200"/>
            <w:tcMar>
              <w:top w:type="dxa" w:w="70"/>
              <w:left w:type="dxa" w:w="110"/>
              <w:bottom w:type="dxa" w:w="70"/>
              <w:right w:type="dxa" w:w="110"/>
            </w:tcMar>
          </w:tcPr>
          <w:p>
            <w:pPr>
              <w:spacing w:after="0" w:line="252"/>
            </w:pPr>
            <w:r>
              <w:rPr>
                <w:sz w:val="19"/>
                <w:szCs w:val="19"/>
              </w:rPr>
              <w:t xml:space="preserve">Cobro por transacción</w:t>
            </w:r>
          </w:p>
        </w:tc>
        <w:tc>
          <w:tcPr>
            <w:tcW w:type="dxa" w:w="6160"/>
            <w:tcMar>
              <w:top w:type="dxa" w:w="70"/>
              <w:left w:type="dxa" w:w="110"/>
              <w:bottom w:type="dxa" w:w="70"/>
              <w:right w:type="dxa" w:w="110"/>
            </w:tcMar>
          </w:tcPr>
          <w:p>
            <w:pPr>
              <w:spacing w:after="0" w:line="252"/>
            </w:pPr>
            <w:r>
              <w:rPr>
                <w:b w:val="false"/>
                <w:bCs w:val="false"/>
                <w:sz w:val="19"/>
                <w:szCs w:val="19"/>
              </w:rPr>
              <w:t xml:space="preserve">1% más IVA mediante open banking (producto medio de pago)</w:t>
            </w:r>
          </w:p>
        </w:tc>
      </w:tr>
      <w:tr>
        <w:tc>
          <w:tcPr>
            <w:tcW w:type="dxa" w:w="3200"/>
            <w:tcMar>
              <w:top w:type="dxa" w:w="70"/>
              <w:left w:type="dxa" w:w="110"/>
              <w:bottom w:type="dxa" w:w="70"/>
              <w:right w:type="dxa" w:w="110"/>
            </w:tcMar>
          </w:tcPr>
          <w:p>
            <w:pPr>
              <w:spacing w:after="0" w:line="252"/>
            </w:pPr>
            <w:r>
              <w:rPr>
                <w:sz w:val="19"/>
                <w:szCs w:val="19"/>
              </w:rPr>
              <w:t xml:space="preserve">Mínimo de facturación mensual</w:t>
            </w:r>
          </w:p>
        </w:tc>
        <w:tc>
          <w:tcPr>
            <w:tcW w:type="dxa" w:w="6160"/>
            <w:tcMar>
              <w:top w:type="dxa" w:w="70"/>
              <w:left w:type="dxa" w:w="110"/>
              <w:bottom w:type="dxa" w:w="70"/>
              <w:right w:type="dxa" w:w="110"/>
            </w:tcMar>
          </w:tcPr>
          <w:p>
            <w:pPr>
              <w:spacing w:after="0" w:line="252"/>
            </w:pPr>
            <w:r>
              <w:rPr>
                <w:b w:val="false"/>
                <w:bCs w:val="false"/>
                <w:sz w:val="19"/>
                <w:szCs w:val="19"/>
              </w:rPr>
              <w:t xml:space="preserve">6,5 UF más IVA, aplicable a todos los productos salvo integraciones de comercio electrónico</w:t>
            </w:r>
          </w:p>
        </w:tc>
      </w:tr>
      <w:tr>
        <w:tc>
          <w:tcPr>
            <w:tcW w:type="dxa" w:w="3200"/>
            <w:tcMar>
              <w:top w:type="dxa" w:w="70"/>
              <w:left w:type="dxa" w:w="110"/>
              <w:bottom w:type="dxa" w:w="70"/>
              <w:right w:type="dxa" w:w="110"/>
            </w:tcMar>
          </w:tcPr>
          <w:p>
            <w:pPr>
              <w:spacing w:after="0" w:line="252"/>
            </w:pPr>
            <w:r>
              <w:rPr>
                <w:sz w:val="19"/>
                <w:szCs w:val="19"/>
              </w:rPr>
              <w:t xml:space="preserve">Conciliación bancaria</w:t>
            </w:r>
          </w:p>
        </w:tc>
        <w:tc>
          <w:tcPr>
            <w:tcW w:type="dxa" w:w="6160"/>
            <w:tcMar>
              <w:top w:type="dxa" w:w="70"/>
              <w:left w:type="dxa" w:w="110"/>
              <w:bottom w:type="dxa" w:w="70"/>
              <w:right w:type="dxa" w:w="110"/>
            </w:tcMar>
          </w:tcPr>
          <w:p>
            <w:pPr>
              <w:spacing w:after="0" w:line="252"/>
            </w:pPr>
            <w:r>
              <w:rPr>
                <w:b w:val="false"/>
                <w:bCs w:val="false"/>
                <w:sz w:val="19"/>
                <w:szCs w:val="19"/>
              </w:rPr>
              <w:t xml:space="preserve">Cobro por cuenta bancaria conectada</w:t>
            </w:r>
          </w:p>
        </w:tc>
      </w:tr>
      <w:tr>
        <w:tc>
          <w:tcPr>
            <w:tcW w:type="dxa" w:w="3200"/>
            <w:tcMar>
              <w:top w:type="dxa" w:w="70"/>
              <w:left w:type="dxa" w:w="110"/>
              <w:bottom w:type="dxa" w:w="70"/>
              <w:right w:type="dxa" w:w="110"/>
            </w:tcMar>
          </w:tcPr>
          <w:p>
            <w:pPr>
              <w:spacing w:after="0" w:line="252"/>
            </w:pPr>
            <w:r>
              <w:rPr>
                <w:sz w:val="19"/>
                <w:szCs w:val="19"/>
              </w:rPr>
              <w:t xml:space="preserve">Entorno de prueba</w:t>
            </w:r>
          </w:p>
        </w:tc>
        <w:tc>
          <w:tcPr>
            <w:tcW w:type="dxa" w:w="6160"/>
            <w:tcMar>
              <w:top w:type="dxa" w:w="70"/>
              <w:left w:type="dxa" w:w="110"/>
              <w:bottom w:type="dxa" w:w="70"/>
              <w:right w:type="dxa" w:w="110"/>
            </w:tcMar>
          </w:tcPr>
          <w:p>
            <w:pPr>
              <w:spacing w:after="0" w:line="252"/>
            </w:pPr>
            <w:r>
              <w:rPr>
                <w:b w:val="false"/>
                <w:bCs w:val="false"/>
                <w:sz w:val="19"/>
                <w:szCs w:val="19"/>
              </w:rPr>
              <w:t xml:space="preserve">Disponible sin costo</w:t>
            </w:r>
          </w:p>
        </w:tc>
      </w:tr>
      <w:tr>
        <w:tc>
          <w:tcPr>
            <w:tcW w:type="dxa" w:w="3200"/>
            <w:tcMar>
              <w:top w:type="dxa" w:w="70"/>
              <w:left w:type="dxa" w:w="110"/>
              <w:bottom w:type="dxa" w:w="70"/>
              <w:right w:type="dxa" w:w="110"/>
            </w:tcMar>
          </w:tcPr>
          <w:p>
            <w:pPr>
              <w:spacing w:after="0" w:line="252"/>
            </w:pPr>
            <w:r>
              <w:rPr>
                <w:sz w:val="19"/>
                <w:szCs w:val="19"/>
              </w:rPr>
              <w:t xml:space="preserve">Modalidad de contratación</w:t>
            </w:r>
          </w:p>
        </w:tc>
        <w:tc>
          <w:tcPr>
            <w:tcW w:type="dxa" w:w="6160"/>
            <w:tcMar>
              <w:top w:type="dxa" w:w="70"/>
              <w:left w:type="dxa" w:w="110"/>
              <w:bottom w:type="dxa" w:w="70"/>
              <w:right w:type="dxa" w:w="110"/>
            </w:tcMar>
          </w:tcPr>
          <w:p>
            <w:pPr>
              <w:spacing w:after="0" w:line="252"/>
            </w:pPr>
            <w:r>
              <w:rPr>
                <w:b w:val="false"/>
                <w:bCs w:val="false"/>
                <w:sz w:val="19"/>
                <w:szCs w:val="19"/>
              </w:rPr>
              <w:t xml:space="preserve">A través del equipo comercial</w:t>
            </w:r>
          </w:p>
        </w:tc>
      </w:tr>
    </w:tbl>
    <w:p>
      <w:pPr>
        <w:spacing w:after="140" w:line="300"/>
        <w:jc w:val="both"/>
      </w:pPr>
      <w:r>
        <w:t xml:space="preserve">Considerando el valor de la Unidad de Fomento al 26 de agosto de 2026 ($40.867), dicho mínimo equivale a aproximadamente $265.600 mensuales, o $316.100 con impuesto incluido, con independencia del uso efectivo del servicio.</w:t>
      </w:r>
    </w:p>
    <w:p>
      <w:pPr>
        <w:pStyle w:val="Heading2"/>
        <w:spacing w:after="140" w:before="300"/>
      </w:pPr>
      <w:r>
        <w:rPr>
          <w:b/>
          <w:bCs/>
          <w:color w:val="1F3864"/>
          <w:sz w:val="26"/>
          <w:szCs w:val="26"/>
        </w:rPr>
        <w:t xml:space="preserve">2.2 Belvo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DEEAF6" w:color="auto" w:val="clear"/>
            <w:tcMar>
              <w:top w:type="dxa" w:w="70"/>
              <w:left w:type="dxa" w:w="110"/>
              <w:bottom w:type="dxa" w:w="70"/>
              <w:right w:type="dxa" w:w="110"/>
            </w:tcMar>
          </w:tcPr>
          <w:p>
            <w:pPr>
              <w:spacing w:after="0" w:line="252"/>
            </w:pPr>
            <w:r>
              <w:rPr>
                <w:b/>
                <w:bCs/>
                <w:sz w:val="19"/>
                <w:szCs w:val="19"/>
              </w:rPr>
              <w:t xml:space="preserve">Aspecto</w:t>
            </w:r>
          </w:p>
        </w:tc>
        <w:tc>
          <w:tcPr>
            <w:tcW w:type="dxa" w:w="6160"/>
            <w:shd w:fill="DEEAF6" w:color="auto" w:val="clear"/>
            <w:tcMar>
              <w:top w:type="dxa" w:w="70"/>
              <w:left w:type="dxa" w:w="110"/>
              <w:bottom w:type="dxa" w:w="70"/>
              <w:right w:type="dxa" w:w="110"/>
            </w:tcMar>
          </w:tcPr>
          <w:p>
            <w:pPr>
              <w:spacing w:after="0" w:line="252"/>
            </w:pPr>
            <w:r>
              <w:rPr>
                <w:b/>
                <w:bCs/>
                <w:sz w:val="19"/>
                <w:szCs w:val="19"/>
              </w:rPr>
              <w:t xml:space="preserve">Condición</w:t>
            </w:r>
          </w:p>
        </w:tc>
      </w:tr>
      <w:tr>
        <w:tc>
          <w:tcPr>
            <w:tcW w:type="dxa" w:w="3200"/>
            <w:tcMar>
              <w:top w:type="dxa" w:w="70"/>
              <w:left w:type="dxa" w:w="110"/>
              <w:bottom w:type="dxa" w:w="70"/>
              <w:right w:type="dxa" w:w="110"/>
            </w:tcMar>
          </w:tcPr>
          <w:p>
            <w:pPr>
              <w:spacing w:after="0" w:line="252"/>
            </w:pPr>
            <w:r>
              <w:rPr>
                <w:sz w:val="19"/>
                <w:szCs w:val="19"/>
              </w:rPr>
              <w:t xml:space="preserve">Planes</w:t>
            </w:r>
          </w:p>
        </w:tc>
        <w:tc>
          <w:tcPr>
            <w:tcW w:type="dxa" w:w="6160"/>
            <w:tcMar>
              <w:top w:type="dxa" w:w="70"/>
              <w:left w:type="dxa" w:w="110"/>
              <w:bottom w:type="dxa" w:w="70"/>
              <w:right w:type="dxa" w:w="110"/>
            </w:tcMar>
          </w:tcPr>
          <w:p>
            <w:pPr>
              <w:spacing w:after="0" w:line="252"/>
            </w:pPr>
            <w:r>
              <w:rPr>
                <w:b w:val="false"/>
                <w:bCs w:val="false"/>
                <w:sz w:val="19"/>
                <w:szCs w:val="19"/>
              </w:rPr>
              <w:t xml:space="preserve">Desde USD 1.000 mensuales, con planes a medida según volumen</w:t>
            </w:r>
          </w:p>
        </w:tc>
      </w:tr>
      <w:tr>
        <w:tc>
          <w:tcPr>
            <w:tcW w:type="dxa" w:w="3200"/>
            <w:tcMar>
              <w:top w:type="dxa" w:w="70"/>
              <w:left w:type="dxa" w:w="110"/>
              <w:bottom w:type="dxa" w:w="70"/>
              <w:right w:type="dxa" w:w="110"/>
            </w:tcMar>
          </w:tcPr>
          <w:p>
            <w:pPr>
              <w:spacing w:after="0" w:line="252"/>
            </w:pPr>
            <w:r>
              <w:rPr>
                <w:sz w:val="19"/>
                <w:szCs w:val="19"/>
              </w:rPr>
              <w:t xml:space="preserve">Entorno de prueba</w:t>
            </w:r>
          </w:p>
        </w:tc>
        <w:tc>
          <w:tcPr>
            <w:tcW w:type="dxa" w:w="6160"/>
            <w:tcMar>
              <w:top w:type="dxa" w:w="70"/>
              <w:left w:type="dxa" w:w="110"/>
              <w:bottom w:type="dxa" w:w="70"/>
              <w:right w:type="dxa" w:w="110"/>
            </w:tcMar>
          </w:tcPr>
          <w:p>
            <w:pPr>
              <w:spacing w:after="0" w:line="252"/>
            </w:pPr>
            <w:r>
              <w:rPr>
                <w:b w:val="false"/>
                <w:bCs w:val="false"/>
                <w:sz w:val="19"/>
                <w:szCs w:val="19"/>
              </w:rPr>
              <w:t xml:space="preserve">Disponible sin costo, con datos ficticios</w:t>
            </w:r>
          </w:p>
        </w:tc>
      </w:tr>
      <w:tr>
        <w:tc>
          <w:tcPr>
            <w:tcW w:type="dxa" w:w="3200"/>
            <w:tcMar>
              <w:top w:type="dxa" w:w="70"/>
              <w:left w:type="dxa" w:w="110"/>
              <w:bottom w:type="dxa" w:w="70"/>
              <w:right w:type="dxa" w:w="110"/>
            </w:tcMar>
          </w:tcPr>
          <w:p>
            <w:pPr>
              <w:spacing w:after="0" w:line="252"/>
            </w:pPr>
            <w:r>
              <w:rPr>
                <w:sz w:val="19"/>
                <w:szCs w:val="19"/>
              </w:rPr>
              <w:t xml:space="preserve">Cobertura</w:t>
            </w:r>
          </w:p>
        </w:tc>
        <w:tc>
          <w:tcPr>
            <w:tcW w:type="dxa" w:w="6160"/>
            <w:tcMar>
              <w:top w:type="dxa" w:w="70"/>
              <w:left w:type="dxa" w:w="110"/>
              <w:bottom w:type="dxa" w:w="70"/>
              <w:right w:type="dxa" w:w="110"/>
            </w:tcMar>
          </w:tcPr>
          <w:p>
            <w:pPr>
              <w:spacing w:after="0" w:line="252"/>
            </w:pPr>
            <w:r>
              <w:rPr>
                <w:b w:val="false"/>
                <w:bCs w:val="false"/>
                <w:sz w:val="19"/>
                <w:szCs w:val="19"/>
              </w:rPr>
              <w:t xml:space="preserve">Regional. Su foco declarado se concentra en México y Brasil</w:t>
            </w:r>
          </w:p>
        </w:tc>
      </w:tr>
    </w:tbl>
    <w:p>
      <w:pPr>
        <w:pStyle w:val="Heading2"/>
        <w:spacing w:after="140" w:before="300"/>
      </w:pPr>
      <w:r>
        <w:rPr>
          <w:b/>
          <w:bCs/>
          <w:color w:val="1F3864"/>
          <w:sz w:val="26"/>
          <w:szCs w:val="26"/>
        </w:rPr>
        <w:t xml:space="preserve">2.3 Conclusión</w:t>
      </w:r>
    </w:p>
    <w:p>
      <w:pPr>
        <w:pBdr>
          <w:left w:val="single" w:color="BF9000" w:sz="14" w:space="12"/>
        </w:pBdr>
        <w:shd w:fill="FFF2CC" w:color="auto" w:val="clear"/>
        <w:spacing w:after="170" w:before="170" w:line="300"/>
        <w:ind w:left="300" w:right="300"/>
        <w:jc w:val="both"/>
      </w:pPr>
      <w:r>
        <w:rPr>
          <w:b/>
          <w:bCs/>
          <w:sz w:val="21"/>
          <w:szCs w:val="21"/>
        </w:rPr>
        <w:t xml:space="preserve">La agregación bancaria en producción resulta económicamente inviable para este proyecto. El piso de gasto mensual de cualquiera de los dos proveedores supera el presupuesto completo de un trabajo universitario.</w:t>
      </w:r>
    </w:p>
    <w:p>
      <w:pPr>
        <w:spacing w:after="140" w:line="300"/>
        <w:jc w:val="both"/>
      </w:pPr>
      <w:r>
        <w:t xml:space="preserve">Los entornos de prueba, en cambio, son accesibles y gratuitos. Permiten implementar y demostrar la integración con datos ficticios sin necesidad de contratar el servicio.</w:t>
      </w:r>
    </w:p>
    <w:p>
      <w:r>
        <w:br w:type="page"/>
      </w:r>
    </w:p>
    <w:p>
      <w:pPr>
        <w:pStyle w:val="Heading1"/>
        <w:spacing w:after="200" w:before="380"/>
      </w:pPr>
      <w:r>
        <w:rPr>
          <w:b/>
          <w:bCs/>
          <w:color w:val="1F3864"/>
          <w:sz w:val="32"/>
          <w:szCs w:val="32"/>
        </w:rPr>
        <w:t xml:space="preserve">3. Ley Fintech 21.521 y el Sistema de Finanzas Abiertas</w:t>
      </w:r>
    </w:p>
    <w:p>
      <w:pPr>
        <w:spacing w:after="140" w:line="300"/>
        <w:jc w:val="both"/>
      </w:pPr>
      <w:r>
        <w:t xml:space="preserve">La Ley 21.521 regula los servicios financieros tecnológicos y crea el Sistema de Finanzas Abiertas: un ecosistema de intercambio de datos financieros con consentimiento explícito del titular, que permitiría a terceros autorizados acceder a información bancaria mediante interfaces estandarizadas.</w:t>
      </w:r>
    </w:p>
    <w:p>
      <w:pPr>
        <w:spacing w:after="140" w:line="300"/>
        <w:jc w:val="both"/>
      </w:pPr>
      <w:r>
        <w:t xml:space="preserve">Constituye, en teoría, la solución idónea al problema que aborda esta decisión.</w:t>
      </w:r>
    </w:p>
    <w:p>
      <w:pPr>
        <w:pStyle w:val="Heading2"/>
        <w:spacing w:after="140" w:before="300"/>
      </w:pPr>
      <w:r>
        <w:rPr>
          <w:b/>
          <w:bCs/>
          <w:color w:val="1F3864"/>
          <w:sz w:val="26"/>
          <w:szCs w:val="26"/>
        </w:rPr>
        <w:t xml:space="preserve">3.1 Cronograma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360"/>
        <w:gridCol w:w="3000"/>
      </w:tblGrid>
      <w:tr>
        <w:trPr>
          <w:tblHeader/>
        </w:trPr>
        <w:tc>
          <w:tcPr>
            <w:tcW w:type="dxa" w:w="6360"/>
            <w:shd w:fill="DEEAF6" w:color="auto" w:val="clear"/>
            <w:tcMar>
              <w:top w:type="dxa" w:w="70"/>
              <w:left w:type="dxa" w:w="110"/>
              <w:bottom w:type="dxa" w:w="70"/>
              <w:right w:type="dxa" w:w="110"/>
            </w:tcMar>
          </w:tcPr>
          <w:p>
            <w:pPr>
              <w:spacing w:after="0" w:line="252"/>
            </w:pPr>
            <w:r>
              <w:rPr>
                <w:b/>
                <w:bCs/>
                <w:sz w:val="19"/>
                <w:szCs w:val="19"/>
              </w:rPr>
              <w:t xml:space="preserve">Hito</w:t>
            </w:r>
          </w:p>
        </w:tc>
        <w:tc>
          <w:tcPr>
            <w:tcW w:type="dxa" w:w="3000"/>
            <w:shd w:fill="DEEAF6" w:color="auto" w:val="clear"/>
            <w:tcMar>
              <w:top w:type="dxa" w:w="70"/>
              <w:left w:type="dxa" w:w="110"/>
              <w:bottom w:type="dxa" w:w="70"/>
              <w:right w:type="dxa" w:w="110"/>
            </w:tcMar>
          </w:tcPr>
          <w:p>
            <w:pPr>
              <w:spacing w:after="0" w:line="252"/>
            </w:pPr>
            <w:r>
              <w:rPr>
                <w:b/>
                <w:bCs/>
                <w:sz w:val="19"/>
                <w:szCs w:val="19"/>
              </w:rPr>
              <w:t xml:space="preserve">Fecha</w:t>
            </w:r>
          </w:p>
        </w:tc>
      </w:tr>
      <w:tr>
        <w:tc>
          <w:tcPr>
            <w:tcW w:type="dxa" w:w="6360"/>
            <w:tcMar>
              <w:top w:type="dxa" w:w="70"/>
              <w:left w:type="dxa" w:w="110"/>
              <w:bottom w:type="dxa" w:w="70"/>
              <w:right w:type="dxa" w:w="110"/>
            </w:tcMar>
          </w:tcPr>
          <w:p>
            <w:pPr>
              <w:spacing w:after="0" w:line="252"/>
            </w:pPr>
            <w:r>
              <w:rPr>
                <w:sz w:val="19"/>
                <w:szCs w:val="19"/>
              </w:rPr>
              <w:t xml:space="preserve">Publicación de la ley</w:t>
            </w:r>
          </w:p>
        </w:tc>
        <w:tc>
          <w:tcPr>
            <w:tcW w:type="dxa" w:w="3000"/>
            <w:tcMar>
              <w:top w:type="dxa" w:w="70"/>
              <w:left w:type="dxa" w:w="110"/>
              <w:bottom w:type="dxa" w:w="70"/>
              <w:right w:type="dxa" w:w="110"/>
            </w:tcMar>
          </w:tcPr>
          <w:p>
            <w:pPr>
              <w:spacing w:after="0" w:line="252"/>
            </w:pPr>
            <w:r>
              <w:rPr>
                <w:b w:val="false"/>
                <w:bCs w:val="false"/>
                <w:sz w:val="19"/>
                <w:szCs w:val="19"/>
              </w:rPr>
              <w:t xml:space="preserve">2023</w:t>
            </w:r>
          </w:p>
        </w:tc>
      </w:tr>
      <w:tr>
        <w:tc>
          <w:tcPr>
            <w:tcW w:type="dxa" w:w="6360"/>
            <w:tcMar>
              <w:top w:type="dxa" w:w="70"/>
              <w:left w:type="dxa" w:w="110"/>
              <w:bottom w:type="dxa" w:w="70"/>
              <w:right w:type="dxa" w:w="110"/>
            </w:tcMar>
          </w:tcPr>
          <w:p>
            <w:pPr>
              <w:spacing w:after="0" w:line="252"/>
            </w:pPr>
            <w:r>
              <w:rPr>
                <w:sz w:val="19"/>
                <w:szCs w:val="19"/>
              </w:rPr>
              <w:t xml:space="preserve">Entrada en operación originalmente prevista</w:t>
            </w:r>
          </w:p>
        </w:tc>
        <w:tc>
          <w:tcPr>
            <w:tcW w:type="dxa" w:w="3000"/>
            <w:tcMar>
              <w:top w:type="dxa" w:w="70"/>
              <w:left w:type="dxa" w:w="110"/>
              <w:bottom w:type="dxa" w:w="70"/>
              <w:right w:type="dxa" w:w="110"/>
            </w:tcMar>
          </w:tcPr>
          <w:p>
            <w:pPr>
              <w:spacing w:after="0" w:line="252"/>
            </w:pPr>
            <w:r>
              <w:rPr>
                <w:b w:val="false"/>
                <w:bCs w:val="false"/>
                <w:sz w:val="19"/>
                <w:szCs w:val="19"/>
              </w:rPr>
              <w:t xml:space="preserve">Julio de 2026</w:t>
            </w:r>
          </w:p>
        </w:tc>
      </w:tr>
      <w:tr>
        <w:tc>
          <w:tcPr>
            <w:tcW w:type="dxa" w:w="6360"/>
            <w:tcMar>
              <w:top w:type="dxa" w:w="70"/>
              <w:left w:type="dxa" w:w="110"/>
              <w:bottom w:type="dxa" w:w="70"/>
              <w:right w:type="dxa" w:w="110"/>
            </w:tcMar>
          </w:tcPr>
          <w:p>
            <w:pPr>
              <w:spacing w:after="0" w:line="252"/>
            </w:pPr>
            <w:r>
              <w:rPr>
                <w:sz w:val="19"/>
                <w:szCs w:val="19"/>
              </w:rPr>
              <w:t xml:space="preserve">Consulta pública de la CMF que propone posponer doce meses</w:t>
            </w:r>
          </w:p>
        </w:tc>
        <w:tc>
          <w:tcPr>
            <w:tcW w:type="dxa" w:w="3000"/>
            <w:tcMar>
              <w:top w:type="dxa" w:w="70"/>
              <w:left w:type="dxa" w:w="110"/>
              <w:bottom w:type="dxa" w:w="70"/>
              <w:right w:type="dxa" w:w="110"/>
            </w:tcMar>
          </w:tcPr>
          <w:p>
            <w:pPr>
              <w:spacing w:after="0" w:line="252"/>
            </w:pPr>
            <w:r>
              <w:rPr>
                <w:b w:val="false"/>
                <w:bCs w:val="false"/>
                <w:sz w:val="19"/>
                <w:szCs w:val="19"/>
              </w:rPr>
              <w:t xml:space="preserve">Noviembre de 2025</w:t>
            </w:r>
          </w:p>
        </w:tc>
      </w:tr>
      <w:tr>
        <w:tc>
          <w:tcPr>
            <w:tcW w:type="dxa" w:w="6360"/>
            <w:tcMar>
              <w:top w:type="dxa" w:w="70"/>
              <w:left w:type="dxa" w:w="110"/>
              <w:bottom w:type="dxa" w:w="70"/>
              <w:right w:type="dxa" w:w="110"/>
            </w:tcMar>
          </w:tcPr>
          <w:p>
            <w:pPr>
              <w:spacing w:after="0" w:line="252"/>
            </w:pPr>
            <w:r>
              <w:rPr>
                <w:sz w:val="19"/>
                <w:szCs w:val="19"/>
              </w:rPr>
              <w:t xml:space="preserve">Entrada en operación establecida por la NCG 569</w:t>
            </w:r>
          </w:p>
        </w:tc>
        <w:tc>
          <w:tcPr>
            <w:tcW w:type="dxa" w:w="3000"/>
            <w:tcMar>
              <w:top w:type="dxa" w:w="70"/>
              <w:left w:type="dxa" w:w="110"/>
              <w:bottom w:type="dxa" w:w="70"/>
              <w:right w:type="dxa" w:w="110"/>
            </w:tcMar>
          </w:tcPr>
          <w:p>
            <w:pPr>
              <w:spacing w:after="0" w:line="252"/>
            </w:pPr>
            <w:r>
              <w:rPr>
                <w:b w:val="false"/>
                <w:bCs w:val="false"/>
                <w:sz w:val="19"/>
                <w:szCs w:val="19"/>
              </w:rPr>
              <w:t xml:space="preserve">Julio de 2027</w:t>
            </w:r>
          </w:p>
        </w:tc>
      </w:tr>
      <w:tr>
        <w:tc>
          <w:tcPr>
            <w:tcW w:type="dxa" w:w="6360"/>
            <w:tcMar>
              <w:top w:type="dxa" w:w="70"/>
              <w:left w:type="dxa" w:w="110"/>
              <w:bottom w:type="dxa" w:w="70"/>
              <w:right w:type="dxa" w:w="110"/>
            </w:tcMar>
          </w:tcPr>
          <w:p>
            <w:pPr>
              <w:spacing w:after="0" w:line="252"/>
            </w:pPr>
            <w:r>
              <w:rPr>
                <w:sz w:val="19"/>
                <w:szCs w:val="19"/>
              </w:rPr>
              <w:t xml:space="preserve">Disponibilidad de Sandbox y Directorio de la CMF</w:t>
            </w:r>
          </w:p>
        </w:tc>
        <w:tc>
          <w:tcPr>
            <w:tcW w:type="dxa" w:w="3000"/>
            <w:tcMar>
              <w:top w:type="dxa" w:w="70"/>
              <w:left w:type="dxa" w:w="110"/>
              <w:bottom w:type="dxa" w:w="70"/>
              <w:right w:type="dxa" w:w="110"/>
            </w:tcMar>
          </w:tcPr>
          <w:p>
            <w:pPr>
              <w:spacing w:after="0" w:line="252"/>
            </w:pPr>
            <w:r>
              <w:rPr>
                <w:b w:val="false"/>
                <w:bCs w:val="false"/>
                <w:sz w:val="19"/>
                <w:szCs w:val="19"/>
              </w:rPr>
              <w:t xml:space="preserve">Nueve meses antes, aproximadamente octubre de 2026</w:t>
            </w:r>
          </w:p>
        </w:tc>
      </w:tr>
    </w:tbl>
    <w:p>
      <w:pPr>
        <w:spacing w:after="140" w:line="300"/>
        <w:jc w:val="both"/>
      </w:pPr>
      <w:r>
        <w:t xml:space="preserve">Tras la entrada en vigencia rige además un calendario gradual: entre cinco y dieciocho meses para bancos y emisores de tarjetas según el tipo de interfaz, y entre veinte y treinta meses para el resto de las entidades reguladas.</w:t>
      </w:r>
    </w:p>
    <w:p>
      <w:pPr>
        <w:pStyle w:val="Heading2"/>
        <w:spacing w:after="140" w:before="300"/>
      </w:pPr>
      <w:r>
        <w:rPr>
          <w:b/>
          <w:bCs/>
          <w:color w:val="1F3864"/>
          <w:sz w:val="26"/>
          <w:szCs w:val="26"/>
        </w:rPr>
        <w:t xml:space="preserve">3.2 Conclusión</w:t>
      </w:r>
    </w:p>
    <w:p>
      <w:pPr>
        <w:pBdr>
          <w:left w:val="single" w:color="BF9000" w:sz="14" w:space="12"/>
        </w:pBdr>
        <w:shd w:fill="FFF2CC" w:color="auto" w:val="clear"/>
        <w:spacing w:after="170" w:before="170" w:line="300"/>
        <w:ind w:left="300" w:right="300"/>
        <w:jc w:val="both"/>
      </w:pPr>
      <w:r>
        <w:rPr>
          <w:b/>
          <w:bCs/>
          <w:sz w:val="21"/>
          <w:szCs w:val="21"/>
        </w:rPr>
        <w:t xml:space="preserve">El Sistema de Finanzas Abiertas no estará operativo durante este proyecto ni durante el año siguiente. La postergación dispuesta por la CMF lo sitúa en julio de 2027, y las interfaces de mayor utilidad para este caso resultan disponibles con posterioridad.</w:t>
      </w:r>
    </w:p>
    <w:p>
      <w:pPr>
        <w:spacing w:after="140" w:line="300"/>
        <w:jc w:val="both"/>
      </w:pPr>
      <w:r>
        <w:t xml:space="preserve">Esta circunstancia no constituye un obstáculo, sino un argumento de diseño: la arquitectura de conectores adoptada permite incorporar el Sistema de Finanzas Abiertas como fuente adicional cuando exista, sin rediseñar el sistema. El proyecto queda deliberadamente preparado para una capacidad que el mercado todavía no ofrece.</w:t>
      </w:r>
    </w:p>
    <w:p>
      <w:r>
        <w:br w:type="page"/>
      </w:r>
    </w:p>
    <w:p>
      <w:pPr>
        <w:pStyle w:val="Heading1"/>
        <w:spacing w:after="200" w:before="380"/>
      </w:pPr>
      <w:r>
        <w:rPr>
          <w:b/>
          <w:bCs/>
          <w:color w:val="1F3864"/>
          <w:sz w:val="32"/>
          <w:szCs w:val="32"/>
        </w:rPr>
        <w:t xml:space="preserve">4. Decisión</w:t>
      </w:r>
    </w:p>
    <w:p>
      <w:pPr>
        <w:spacing w:after="140" w:line="300"/>
        <w:jc w:val="both"/>
      </w:pPr>
      <w:r>
        <w:t xml:space="preserve">Se adopta una estrategia escalonada de obtención de datos de cobro.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2900"/>
        <w:gridCol w:w="5260"/>
      </w:tblGrid>
      <w:tr>
        <w:trPr>
          <w:tblHeader/>
        </w:trPr>
        <w:tc>
          <w:tcPr>
            <w:tcW w:type="dxa" w:w="1200"/>
            <w:shd w:fill="DEEAF6" w:color="auto" w:val="clear"/>
            <w:tcMar>
              <w:top w:type="dxa" w:w="70"/>
              <w:left w:type="dxa" w:w="110"/>
              <w:bottom w:type="dxa" w:w="70"/>
              <w:right w:type="dxa" w:w="110"/>
            </w:tcMar>
          </w:tcPr>
          <w:p>
            <w:pPr>
              <w:spacing w:after="0" w:line="252"/>
            </w:pPr>
            <w:r>
              <w:rPr>
                <w:b/>
                <w:bCs/>
                <w:sz w:val="19"/>
                <w:szCs w:val="19"/>
              </w:rPr>
              <w:t xml:space="preserve">Prioridad</w:t>
            </w:r>
          </w:p>
        </w:tc>
        <w:tc>
          <w:tcPr>
            <w:tcW w:type="dxa" w:w="2900"/>
            <w:shd w:fill="DEEAF6" w:color="auto" w:val="clear"/>
            <w:tcMar>
              <w:top w:type="dxa" w:w="70"/>
              <w:left w:type="dxa" w:w="110"/>
              <w:bottom w:type="dxa" w:w="70"/>
              <w:right w:type="dxa" w:w="110"/>
            </w:tcMar>
          </w:tcPr>
          <w:p>
            <w:pPr>
              <w:spacing w:after="0" w:line="252"/>
            </w:pPr>
            <w:r>
              <w:rPr>
                <w:b/>
                <w:bCs/>
                <w:sz w:val="19"/>
                <w:szCs w:val="19"/>
              </w:rPr>
              <w:t xml:space="preserve">Fuente</w:t>
            </w:r>
          </w:p>
        </w:tc>
        <w:tc>
          <w:tcPr>
            <w:tcW w:type="dxa" w:w="5260"/>
            <w:shd w:fill="DEEAF6" w:color="auto" w:val="clear"/>
            <w:tcMar>
              <w:top w:type="dxa" w:w="70"/>
              <w:left w:type="dxa" w:w="110"/>
              <w:bottom w:type="dxa" w:w="70"/>
              <w:right w:type="dxa" w:w="110"/>
            </w:tcMar>
          </w:tcPr>
          <w:p>
            <w:pPr>
              <w:spacing w:after="0" w:line="252"/>
            </w:pPr>
            <w:r>
              <w:rPr>
                <w:b/>
                <w:bCs/>
                <w:sz w:val="19"/>
                <w:szCs w:val="19"/>
              </w:rPr>
              <w:t xml:space="preserve">Estado en el proyecto</w:t>
            </w:r>
          </w:p>
        </w:tc>
      </w:tr>
      <w:tr>
        <w:tc>
          <w:tcPr>
            <w:tcW w:type="dxa" w:w="1200"/>
            <w:tcMar>
              <w:top w:type="dxa" w:w="70"/>
              <w:left w:type="dxa" w:w="110"/>
              <w:bottom w:type="dxa" w:w="70"/>
              <w:right w:type="dxa" w:w="110"/>
            </w:tcMar>
          </w:tcPr>
          <w:p>
            <w:pPr>
              <w:spacing w:after="0" w:line="252"/>
            </w:pPr>
            <w:r>
              <w:rPr>
                <w:sz w:val="19"/>
                <w:szCs w:val="19"/>
              </w:rPr>
              <w:t xml:space="preserve">1</w:t>
            </w:r>
          </w:p>
        </w:tc>
        <w:tc>
          <w:tcPr>
            <w:tcW w:type="dxa" w:w="2900"/>
            <w:tcMar>
              <w:top w:type="dxa" w:w="70"/>
              <w:left w:type="dxa" w:w="110"/>
              <w:bottom w:type="dxa" w:w="70"/>
              <w:right w:type="dxa" w:w="110"/>
            </w:tcMar>
          </w:tcPr>
          <w:p>
            <w:pPr>
              <w:spacing w:after="0" w:line="252"/>
            </w:pPr>
            <w:r>
              <w:rPr>
                <w:b w:val="false"/>
                <w:bCs w:val="false"/>
                <w:sz w:val="19"/>
                <w:szCs w:val="19"/>
              </w:rPr>
              <w:t xml:space="preserve">Entrada manual e importación CSV</w:t>
            </w:r>
          </w:p>
        </w:tc>
        <w:tc>
          <w:tcPr>
            <w:tcW w:type="dxa" w:w="5260"/>
            <w:tcMar>
              <w:top w:type="dxa" w:w="70"/>
              <w:left w:type="dxa" w:w="110"/>
              <w:bottom w:type="dxa" w:w="70"/>
              <w:right w:type="dxa" w:w="110"/>
            </w:tcMar>
          </w:tcPr>
          <w:p>
            <w:pPr>
              <w:spacing w:after="0" w:line="252"/>
            </w:pPr>
            <w:r>
              <w:rPr>
                <w:b w:val="false"/>
                <w:bCs w:val="false"/>
                <w:sz w:val="19"/>
                <w:szCs w:val="19"/>
              </w:rPr>
              <w:t xml:space="preserve">Implementada. Constituye el piso obligatorio: el sistema opera sin ningún conector</w:t>
            </w:r>
          </w:p>
        </w:tc>
      </w:tr>
      <w:tr>
        <w:tc>
          <w:tcPr>
            <w:tcW w:type="dxa" w:w="1200"/>
            <w:tcMar>
              <w:top w:type="dxa" w:w="70"/>
              <w:left w:type="dxa" w:w="110"/>
              <w:bottom w:type="dxa" w:w="70"/>
              <w:right w:type="dxa" w:w="110"/>
            </w:tcMar>
          </w:tcPr>
          <w:p>
            <w:pPr>
              <w:spacing w:after="0" w:line="252"/>
            </w:pPr>
            <w:r>
              <w:rPr>
                <w:sz w:val="19"/>
                <w:szCs w:val="19"/>
              </w:rPr>
              <w:t xml:space="preserve">2</w:t>
            </w:r>
          </w:p>
        </w:tc>
        <w:tc>
          <w:tcPr>
            <w:tcW w:type="dxa" w:w="2900"/>
            <w:tcMar>
              <w:top w:type="dxa" w:w="70"/>
              <w:left w:type="dxa" w:w="110"/>
              <w:bottom w:type="dxa" w:w="70"/>
              <w:right w:type="dxa" w:w="110"/>
            </w:tcMar>
          </w:tcPr>
          <w:p>
            <w:pPr>
              <w:spacing w:after="0" w:line="252"/>
            </w:pPr>
            <w:r>
              <w:rPr>
                <w:b w:val="false"/>
                <w:bCs w:val="false"/>
                <w:sz w:val="19"/>
                <w:szCs w:val="19"/>
              </w:rPr>
              <w:t xml:space="preserve">Lectura de correo electrónico</w:t>
            </w:r>
          </w:p>
        </w:tc>
        <w:tc>
          <w:tcPr>
            <w:tcW w:type="dxa" w:w="5260"/>
            <w:tcMar>
              <w:top w:type="dxa" w:w="70"/>
              <w:left w:type="dxa" w:w="110"/>
              <w:bottom w:type="dxa" w:w="70"/>
              <w:right w:type="dxa" w:w="110"/>
            </w:tcMar>
          </w:tcPr>
          <w:p>
            <w:pPr>
              <w:spacing w:after="0" w:line="252"/>
            </w:pPr>
            <w:r>
              <w:rPr>
                <w:b w:val="false"/>
                <w:bCs w:val="false"/>
                <w:sz w:val="19"/>
                <w:szCs w:val="19"/>
              </w:rPr>
              <w:t xml:space="preserve">Implementada con usuarios de prueba</w:t>
            </w:r>
          </w:p>
        </w:tc>
      </w:tr>
      <w:tr>
        <w:tc>
          <w:tcPr>
            <w:tcW w:type="dxa" w:w="1200"/>
            <w:tcMar>
              <w:top w:type="dxa" w:w="70"/>
              <w:left w:type="dxa" w:w="110"/>
              <w:bottom w:type="dxa" w:w="70"/>
              <w:right w:type="dxa" w:w="110"/>
            </w:tcMar>
          </w:tcPr>
          <w:p>
            <w:pPr>
              <w:spacing w:after="0" w:line="252"/>
            </w:pPr>
            <w:r>
              <w:rPr>
                <w:sz w:val="19"/>
                <w:szCs w:val="19"/>
              </w:rPr>
              <w:t xml:space="preserve">3</w:t>
            </w:r>
          </w:p>
        </w:tc>
        <w:tc>
          <w:tcPr>
            <w:tcW w:type="dxa" w:w="2900"/>
            <w:tcMar>
              <w:top w:type="dxa" w:w="70"/>
              <w:left w:type="dxa" w:w="110"/>
              <w:bottom w:type="dxa" w:w="70"/>
              <w:right w:type="dxa" w:w="110"/>
            </w:tcMar>
          </w:tcPr>
          <w:p>
            <w:pPr>
              <w:spacing w:after="0" w:line="252"/>
            </w:pPr>
            <w:r>
              <w:rPr>
                <w:b w:val="false"/>
                <w:bCs w:val="false"/>
                <w:sz w:val="19"/>
                <w:szCs w:val="19"/>
              </w:rPr>
              <w:t xml:space="preserve">Agregación bancaria</w:t>
            </w:r>
          </w:p>
        </w:tc>
        <w:tc>
          <w:tcPr>
            <w:tcW w:type="dxa" w:w="5260"/>
            <w:tcMar>
              <w:top w:type="dxa" w:w="70"/>
              <w:left w:type="dxa" w:w="110"/>
              <w:bottom w:type="dxa" w:w="70"/>
              <w:right w:type="dxa" w:w="110"/>
            </w:tcMar>
          </w:tcPr>
          <w:p>
            <w:pPr>
              <w:spacing w:after="0" w:line="252"/>
            </w:pPr>
            <w:r>
              <w:rPr>
                <w:b w:val="false"/>
                <w:bCs w:val="false"/>
                <w:sz w:val="19"/>
                <w:szCs w:val="19"/>
              </w:rPr>
              <w:t xml:space="preserve">Integración contra entorno de prueba, sujeta a disponibilidad de tiempo. Producción fuera de alcance por costo</w:t>
            </w:r>
          </w:p>
        </w:tc>
      </w:tr>
      <w:tr>
        <w:tc>
          <w:tcPr>
            <w:tcW w:type="dxa" w:w="1200"/>
            <w:tcMar>
              <w:top w:type="dxa" w:w="70"/>
              <w:left w:type="dxa" w:w="110"/>
              <w:bottom w:type="dxa" w:w="70"/>
              <w:right w:type="dxa" w:w="110"/>
            </w:tcMar>
          </w:tcPr>
          <w:p>
            <w:pPr>
              <w:spacing w:after="0" w:line="252"/>
            </w:pPr>
            <w:r>
              <w:rPr>
                <w:sz w:val="19"/>
                <w:szCs w:val="19"/>
              </w:rPr>
              <w:t xml:space="preserve">4</w:t>
            </w:r>
          </w:p>
        </w:tc>
        <w:tc>
          <w:tcPr>
            <w:tcW w:type="dxa" w:w="2900"/>
            <w:tcMar>
              <w:top w:type="dxa" w:w="70"/>
              <w:left w:type="dxa" w:w="110"/>
              <w:bottom w:type="dxa" w:w="70"/>
              <w:right w:type="dxa" w:w="110"/>
            </w:tcMar>
          </w:tcPr>
          <w:p>
            <w:pPr>
              <w:spacing w:after="0" w:line="252"/>
            </w:pPr>
            <w:r>
              <w:rPr>
                <w:b w:val="false"/>
                <w:bCs w:val="false"/>
                <w:sz w:val="19"/>
                <w:szCs w:val="19"/>
              </w:rPr>
              <w:t xml:space="preserve">Sistema de Finanzas Abiertas</w:t>
            </w:r>
          </w:p>
        </w:tc>
        <w:tc>
          <w:tcPr>
            <w:tcW w:type="dxa" w:w="5260"/>
            <w:tcMar>
              <w:top w:type="dxa" w:w="70"/>
              <w:left w:type="dxa" w:w="110"/>
              <w:bottom w:type="dxa" w:w="70"/>
              <w:right w:type="dxa" w:w="110"/>
            </w:tcMar>
          </w:tcPr>
          <w:p>
            <w:pPr>
              <w:spacing w:after="0" w:line="252"/>
            </w:pPr>
            <w:r>
              <w:rPr>
                <w:b w:val="false"/>
                <w:bCs w:val="false"/>
                <w:sz w:val="19"/>
                <w:szCs w:val="19"/>
              </w:rPr>
              <w:t xml:space="preserve">Trabajo futuro, con fecha conocida: julio de 2027</w:t>
            </w:r>
          </w:p>
        </w:tc>
      </w:tr>
    </w:tbl>
    <w:p>
      <w:pPr>
        <w:pStyle w:val="Heading2"/>
        <w:spacing w:after="140" w:before="300"/>
      </w:pPr>
      <w:r>
        <w:rPr>
          <w:b/>
          <w:bCs/>
          <w:color w:val="1F3864"/>
          <w:sz w:val="26"/>
          <w:szCs w:val="26"/>
        </w:rPr>
        <w:t xml:space="preserve">4.1 Justificación</w:t>
      </w:r>
    </w:p>
    <w:p>
      <w:pPr>
        <w:spacing w:after="100" w:line="288"/>
        <w:ind w:left="500" w:hanging="320"/>
        <w:jc w:val="both"/>
      </w:pPr>
      <w:r>
        <w:rPr>
          <w:b/>
          <w:bCs/>
        </w:rPr>
        <w:t xml:space="preserve">1.</w:t>
      </w:r>
      <w:r>
        <w:t xml:space="preserve">	El producto es funcional desde el primer día. Las dos funcionalidades más demandadas —aviso de cobro y aviso de término de prueba gratuita— se satisfacen mediante entrada manual, sin depender de integración externa alguna.</w:t>
      </w:r>
    </w:p>
    <w:p>
      <w:pPr>
        <w:spacing w:after="100" w:line="288"/>
        <w:ind w:left="500" w:hanging="320"/>
        <w:jc w:val="both"/>
      </w:pPr>
      <w:r>
        <w:rPr>
          <w:b/>
          <w:bCs/>
        </w:rPr>
        <w:t xml:space="preserve">2.</w:t>
      </w:r>
      <w:r>
        <w:t xml:space="preserve">	El costo de la agregación bancaria excede el presupuesto del proyecto en dos órdenes de magnitud. No constituye una limitación de diseño sino una restricción de mercado documentada.</w:t>
      </w:r>
    </w:p>
    <w:p>
      <w:pPr>
        <w:spacing w:after="100" w:line="288"/>
        <w:ind w:left="500" w:hanging="320"/>
        <w:jc w:val="both"/>
      </w:pPr>
      <w:r>
        <w:rPr>
          <w:b/>
          <w:bCs/>
        </w:rPr>
        <w:t xml:space="preserve">3.</w:t>
      </w:r>
      <w:r>
        <w:t xml:space="preserve">	La integración resulta demostrable sin ser contratada. El entorno de prueba permite exhibir el conector en funcionamiento durante la defensa.</w:t>
      </w:r>
    </w:p>
    <w:p>
      <w:pPr>
        <w:spacing w:after="100" w:line="288"/>
        <w:ind w:left="500" w:hanging="320"/>
        <w:jc w:val="both"/>
      </w:pPr>
      <w:r>
        <w:rPr>
          <w:b/>
          <w:bCs/>
        </w:rPr>
        <w:t xml:space="preserve">4.</w:t>
      </w:r>
      <w:r>
        <w:t xml:space="preserve">	La arquitectura no queda comprometida. El contrato común de conectores admite la incorporación de una fuente nueva sin modificar el resto del sistema.</w:t>
      </w:r>
    </w:p>
    <w:p>
      <w:pPr>
        <w:pStyle w:val="Heading2"/>
        <w:spacing w:after="140" w:before="300"/>
      </w:pPr>
      <w:r>
        <w:rPr>
          <w:b/>
          <w:bCs/>
          <w:color w:val="1F3864"/>
          <w:sz w:val="26"/>
          <w:szCs w:val="26"/>
        </w:rPr>
        <w:t xml:space="preserve">4.2 Consecuencias</w:t>
      </w:r>
    </w:p>
    <w:p>
      <w:pPr>
        <w:spacing w:after="80" w:line="300"/>
        <w:jc w:val="both"/>
      </w:pPr>
      <w:r>
        <w:rPr>
          <w:b/>
          <w:bCs/>
        </w:rPr>
        <w:t xml:space="preserve">Positivas</w:t>
      </w:r>
    </w:p>
    <w:p>
      <w:pPr>
        <w:spacing w:after="80" w:line="288"/>
        <w:ind w:left="460" w:hanging="240"/>
        <w:jc w:val="both"/>
      </w:pPr>
      <w:r>
        <w:t xml:space="preserve">—	Ausencia de riesgo de bloqueo del proyecto por una dependencia externa.</w:t>
      </w:r>
    </w:p>
    <w:p>
      <w:pPr>
        <w:spacing w:after="80" w:line="288"/>
        <w:ind w:left="460" w:hanging="240"/>
        <w:jc w:val="both"/>
      </w:pPr>
      <w:r>
        <w:t xml:space="preserve">—	Sin exposición regulatoria en producción.</w:t>
      </w:r>
    </w:p>
    <w:p>
      <w:pPr>
        <w:spacing w:after="80" w:line="288"/>
        <w:ind w:left="460" w:hanging="240"/>
        <w:jc w:val="both"/>
      </w:pPr>
      <w:r>
        <w:t xml:space="preserve">—	Ruta de evolución documentada y con fecha determinada.</w:t>
      </w:r>
    </w:p>
    <w:p>
      <w:pPr>
        <w:spacing w:after="80" w:line="300"/>
        <w:jc w:val="both"/>
      </w:pPr>
      <w:r>
        <w:rPr>
          <w:b/>
          <w:bCs/>
        </w:rPr>
        <w:t xml:space="preserve">Negativas, asumidas conscientemente</w:t>
      </w:r>
    </w:p>
    <w:p>
      <w:pPr>
        <w:spacing w:after="80" w:line="288"/>
        <w:ind w:left="460" w:hanging="240"/>
        <w:jc w:val="both"/>
      </w:pPr>
      <w:r>
        <w:t xml:space="preserve">—	La detección automática de cobros queda limitada a lo que el correo electrónico permita identificar.</w:t>
      </w:r>
    </w:p>
    <w:p>
      <w:pPr>
        <w:spacing w:after="80" w:line="288"/>
        <w:ind w:left="460" w:hanging="240"/>
        <w:jc w:val="both"/>
      </w:pPr>
      <w:r>
        <w:t xml:space="preserve">—	La carga inicial de suscripciones recae en el usuario, lo que constituye fricción de adopción real y debe declararse en el informe.</w:t>
      </w:r>
    </w:p>
    <w:p>
      <w:r>
        <w:br w:type="page"/>
      </w:r>
    </w:p>
    <w:p>
      <w:pPr>
        <w:pStyle w:val="Heading1"/>
        <w:spacing w:after="200" w:before="380"/>
      </w:pPr>
      <w:r>
        <w:rPr>
          <w:b/>
          <w:bCs/>
          <w:color w:val="1F3864"/>
          <w:sz w:val="32"/>
          <w:szCs w:val="32"/>
        </w:rPr>
        <w:t xml:space="preserve">5. Protección de datos: Ley 21.719</w:t>
      </w:r>
    </w:p>
    <w:p>
      <w:pPr>
        <w:spacing w:after="140" w:line="300"/>
        <w:jc w:val="both"/>
      </w:pPr>
      <w:r>
        <w:t xml:space="preserve">La Ley 21.719 fue publicada el 13 de diciembre de 2024 y entra en vigencia el 1 de diciembre de 2026, es decir, durante el desarrollo de este proyecto.</w:t>
      </w:r>
    </w:p>
    <w:p>
      <w:pPr>
        <w:pStyle w:val="Heading2"/>
        <w:spacing w:after="140" w:before="300"/>
      </w:pPr>
      <w:r>
        <w:rPr>
          <w:b/>
          <w:bCs/>
          <w:color w:val="1F3864"/>
          <w:sz w:val="26"/>
          <w:szCs w:val="26"/>
        </w:rPr>
        <w:t xml:space="preserve">5.1 Obligaciones relevantes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DEEAF6" w:color="auto" w:val="clear"/>
            <w:tcMar>
              <w:top w:type="dxa" w:w="70"/>
              <w:left w:type="dxa" w:w="110"/>
              <w:bottom w:type="dxa" w:w="70"/>
              <w:right w:type="dxa" w:w="110"/>
            </w:tcMar>
          </w:tcPr>
          <w:p>
            <w:pPr>
              <w:spacing w:after="0" w:line="252"/>
            </w:pPr>
            <w:r>
              <w:rPr>
                <w:b/>
                <w:bCs/>
                <w:sz w:val="19"/>
                <w:szCs w:val="19"/>
              </w:rPr>
              <w:t xml:space="preserve">Obligación</w:t>
            </w:r>
          </w:p>
        </w:tc>
        <w:tc>
          <w:tcPr>
            <w:tcW w:type="dxa" w:w="6160"/>
            <w:shd w:fill="DEEAF6" w:color="auto" w:val="clear"/>
            <w:tcMar>
              <w:top w:type="dxa" w:w="70"/>
              <w:left w:type="dxa" w:w="110"/>
              <w:bottom w:type="dxa" w:w="70"/>
              <w:right w:type="dxa" w:w="110"/>
            </w:tcMar>
          </w:tcPr>
          <w:p>
            <w:pPr>
              <w:spacing w:after="0" w:line="252"/>
            </w:pPr>
            <w:r>
              <w:rPr>
                <w:b/>
                <w:bCs/>
                <w:sz w:val="19"/>
                <w:szCs w:val="19"/>
              </w:rPr>
              <w:t xml:space="preserve">Implicancia para el sistema</w:t>
            </w:r>
          </w:p>
        </w:tc>
      </w:tr>
      <w:tr>
        <w:tc>
          <w:tcPr>
            <w:tcW w:type="dxa" w:w="3200"/>
            <w:tcMar>
              <w:top w:type="dxa" w:w="70"/>
              <w:left w:type="dxa" w:w="110"/>
              <w:bottom w:type="dxa" w:w="70"/>
              <w:right w:type="dxa" w:w="110"/>
            </w:tcMar>
          </w:tcPr>
          <w:p>
            <w:pPr>
              <w:spacing w:after="0" w:line="252"/>
            </w:pPr>
            <w:r>
              <w:rPr>
                <w:sz w:val="19"/>
                <w:szCs w:val="19"/>
              </w:rPr>
              <w:t xml:space="preserve">Base de licitud y consentimiento</w:t>
            </w:r>
          </w:p>
        </w:tc>
        <w:tc>
          <w:tcPr>
            <w:tcW w:type="dxa" w:w="6160"/>
            <w:tcMar>
              <w:top w:type="dxa" w:w="70"/>
              <w:left w:type="dxa" w:w="110"/>
              <w:bottom w:type="dxa" w:w="70"/>
              <w:right w:type="dxa" w:w="110"/>
            </w:tcMar>
          </w:tcPr>
          <w:p>
            <w:pPr>
              <w:spacing w:after="0" w:line="252"/>
            </w:pPr>
            <w:r>
              <w:rPr>
                <w:b w:val="false"/>
                <w:bCs w:val="false"/>
                <w:sz w:val="19"/>
                <w:szCs w:val="19"/>
              </w:rPr>
              <w:t xml:space="preserve">El consentimiento debe ser específico, informado y revocable. La conexión de una cuenta externa exige consentimiento propio y separado</w:t>
            </w:r>
          </w:p>
        </w:tc>
      </w:tr>
      <w:tr>
        <w:tc>
          <w:tcPr>
            <w:tcW w:type="dxa" w:w="3200"/>
            <w:tcMar>
              <w:top w:type="dxa" w:w="70"/>
              <w:left w:type="dxa" w:w="110"/>
              <w:bottom w:type="dxa" w:w="70"/>
              <w:right w:type="dxa" w:w="110"/>
            </w:tcMar>
          </w:tcPr>
          <w:p>
            <w:pPr>
              <w:spacing w:after="0" w:line="252"/>
            </w:pPr>
            <w:r>
              <w:rPr>
                <w:sz w:val="19"/>
                <w:szCs w:val="19"/>
              </w:rPr>
              <w:t xml:space="preserve">Derechos de acceso, rectificación, cancelación y oposición</w:t>
            </w:r>
          </w:p>
        </w:tc>
        <w:tc>
          <w:tcPr>
            <w:tcW w:type="dxa" w:w="6160"/>
            <w:tcMar>
              <w:top w:type="dxa" w:w="70"/>
              <w:left w:type="dxa" w:w="110"/>
              <w:bottom w:type="dxa" w:w="70"/>
              <w:right w:type="dxa" w:w="110"/>
            </w:tcMar>
          </w:tcPr>
          <w:p>
            <w:pPr>
              <w:spacing w:after="0" w:line="252"/>
            </w:pPr>
            <w:r>
              <w:rPr>
                <w:b w:val="false"/>
                <w:bCs w:val="false"/>
                <w:sz w:val="19"/>
                <w:szCs w:val="19"/>
              </w:rPr>
              <w:t xml:space="preserve">El usuario debe poder exportar y eliminar sus datos</w:t>
            </w:r>
          </w:p>
        </w:tc>
      </w:tr>
      <w:tr>
        <w:tc>
          <w:tcPr>
            <w:tcW w:type="dxa" w:w="3200"/>
            <w:tcMar>
              <w:top w:type="dxa" w:w="70"/>
              <w:left w:type="dxa" w:w="110"/>
              <w:bottom w:type="dxa" w:w="70"/>
              <w:right w:type="dxa" w:w="110"/>
            </w:tcMar>
          </w:tcPr>
          <w:p>
            <w:pPr>
              <w:spacing w:after="0" w:line="252"/>
            </w:pPr>
            <w:r>
              <w:rPr>
                <w:sz w:val="19"/>
                <w:szCs w:val="19"/>
              </w:rPr>
              <w:t xml:space="preserve">Registro de actividades de tratamiento</w:t>
            </w:r>
          </w:p>
        </w:tc>
        <w:tc>
          <w:tcPr>
            <w:tcW w:type="dxa" w:w="6160"/>
            <w:tcMar>
              <w:top w:type="dxa" w:w="70"/>
              <w:left w:type="dxa" w:w="110"/>
              <w:bottom w:type="dxa" w:w="70"/>
              <w:right w:type="dxa" w:w="110"/>
            </w:tcMar>
          </w:tcPr>
          <w:p>
            <w:pPr>
              <w:spacing w:after="0" w:line="252"/>
            </w:pPr>
            <w:r>
              <w:rPr>
                <w:b w:val="false"/>
                <w:bCs w:val="false"/>
                <w:sz w:val="19"/>
                <w:szCs w:val="19"/>
              </w:rPr>
              <w:t xml:space="preserve">Documentar qué datos se tratan, con qué finalidad y por cuánto tiempo</w:t>
            </w:r>
          </w:p>
        </w:tc>
      </w:tr>
      <w:tr>
        <w:tc>
          <w:tcPr>
            <w:tcW w:type="dxa" w:w="3200"/>
            <w:tcMar>
              <w:top w:type="dxa" w:w="70"/>
              <w:left w:type="dxa" w:w="110"/>
              <w:bottom w:type="dxa" w:w="70"/>
              <w:right w:type="dxa" w:w="110"/>
            </w:tcMar>
          </w:tcPr>
          <w:p>
            <w:pPr>
              <w:spacing w:after="0" w:line="252"/>
            </w:pPr>
            <w:r>
              <w:rPr>
                <w:sz w:val="19"/>
                <w:szCs w:val="19"/>
              </w:rPr>
              <w:t xml:space="preserve">Notificación de vulneraciones</w:t>
            </w:r>
          </w:p>
        </w:tc>
        <w:tc>
          <w:tcPr>
            <w:tcW w:type="dxa" w:w="6160"/>
            <w:tcMar>
              <w:top w:type="dxa" w:w="70"/>
              <w:left w:type="dxa" w:w="110"/>
              <w:bottom w:type="dxa" w:w="70"/>
              <w:right w:type="dxa" w:w="110"/>
            </w:tcMar>
          </w:tcPr>
          <w:p>
            <w:pPr>
              <w:spacing w:after="0" w:line="252"/>
            </w:pPr>
            <w:r>
              <w:rPr>
                <w:b w:val="false"/>
                <w:bCs w:val="false"/>
                <w:sz w:val="19"/>
                <w:szCs w:val="19"/>
              </w:rPr>
              <w:t xml:space="preserve">Reporte a la Agencia dentro de setenta y dos horas</w:t>
            </w:r>
          </w:p>
        </w:tc>
      </w:tr>
      <w:tr>
        <w:tc>
          <w:tcPr>
            <w:tcW w:type="dxa" w:w="3200"/>
            <w:tcMar>
              <w:top w:type="dxa" w:w="70"/>
              <w:left w:type="dxa" w:w="110"/>
              <w:bottom w:type="dxa" w:w="70"/>
              <w:right w:type="dxa" w:w="110"/>
            </w:tcMar>
          </w:tcPr>
          <w:p>
            <w:pPr>
              <w:spacing w:after="0" w:line="252"/>
            </w:pPr>
            <w:r>
              <w:rPr>
                <w:sz w:val="19"/>
                <w:szCs w:val="19"/>
              </w:rPr>
              <w:t xml:space="preserve">Regla específica para datos financieros</w:t>
            </w:r>
          </w:p>
        </w:tc>
        <w:tc>
          <w:tcPr>
            <w:tcW w:type="dxa" w:w="6160"/>
            <w:tcMar>
              <w:top w:type="dxa" w:w="70"/>
              <w:left w:type="dxa" w:w="110"/>
              <w:bottom w:type="dxa" w:w="70"/>
              <w:right w:type="dxa" w:w="110"/>
            </w:tcMar>
          </w:tcPr>
          <w:p>
            <w:pPr>
              <w:spacing w:after="0" w:line="252"/>
            </w:pPr>
            <w:r>
              <w:rPr>
                <w:b w:val="false"/>
                <w:bCs w:val="false"/>
                <w:sz w:val="19"/>
                <w:szCs w:val="19"/>
              </w:rPr>
              <w:t xml:space="preserve">Si la vulneración involucra datos financieros, debe comunicarse además a los titulares afectados en lenguaje claro</w:t>
            </w:r>
          </w:p>
        </w:tc>
      </w:tr>
      <w:tr>
        <w:tc>
          <w:tcPr>
            <w:tcW w:type="dxa" w:w="3200"/>
            <w:tcMar>
              <w:top w:type="dxa" w:w="70"/>
              <w:left w:type="dxa" w:w="110"/>
              <w:bottom w:type="dxa" w:w="70"/>
              <w:right w:type="dxa" w:w="110"/>
            </w:tcMar>
          </w:tcPr>
          <w:p>
            <w:pPr>
              <w:spacing w:after="0" w:line="252"/>
            </w:pPr>
            <w:r>
              <w:rPr>
                <w:sz w:val="19"/>
                <w:szCs w:val="19"/>
              </w:rPr>
              <w:t xml:space="preserve">Sanciones</w:t>
            </w:r>
          </w:p>
        </w:tc>
        <w:tc>
          <w:tcPr>
            <w:tcW w:type="dxa" w:w="6160"/>
            <w:tcMar>
              <w:top w:type="dxa" w:w="70"/>
              <w:left w:type="dxa" w:w="110"/>
              <w:bottom w:type="dxa" w:w="70"/>
              <w:right w:type="dxa" w:w="110"/>
            </w:tcMar>
          </w:tcPr>
          <w:p>
            <w:pPr>
              <w:spacing w:after="0" w:line="252"/>
            </w:pPr>
            <w:r>
              <w:rPr>
                <w:b w:val="false"/>
                <w:bCs w:val="false"/>
                <w:sz w:val="19"/>
                <w:szCs w:val="19"/>
              </w:rPr>
              <w:t xml:space="preserve">Hasta 20.000 UTM, o el 4% de los ingresos anuales en caso de reincidencia</w:t>
            </w:r>
          </w:p>
        </w:tc>
      </w:tr>
    </w:tbl>
    <w:p>
      <w:pPr>
        <w:pStyle w:val="Heading2"/>
        <w:spacing w:after="140" w:before="300"/>
      </w:pPr>
      <w:r>
        <w:rPr>
          <w:b/>
          <w:bCs/>
          <w:color w:val="1F3864"/>
          <w:sz w:val="26"/>
          <w:szCs w:val="26"/>
        </w:rPr>
        <w:t xml:space="preserve">5.2 Consecuencias de diseño</w:t>
      </w:r>
    </w:p>
    <w:p>
      <w:pPr>
        <w:spacing w:after="140" w:line="300"/>
        <w:jc w:val="both"/>
      </w:pPr>
      <w:r>
        <w:t xml:space="preserve">Estas obligaciones se traducen en decisiones concretas de implementación, y no en una sección declarativa del informe.</w:t>
      </w:r>
    </w:p>
    <w:p>
      <w:pPr>
        <w:spacing w:after="100" w:line="288"/>
        <w:ind w:left="500" w:hanging="320"/>
        <w:jc w:val="both"/>
      </w:pPr>
      <w:r>
        <w:rPr>
          <w:b/>
          <w:bCs/>
        </w:rPr>
        <w:t xml:space="preserve">1.</w:t>
      </w:r>
      <w:r>
        <w:t xml:space="preserve">	Minimización. Se almacena únicamente proveedor, monto, fecha y ciclo de facturación. No se conserva la cartola completa ni el detalle de transacciones ajenas a suscripciones. A menor cantidad de datos almacenados, menor exposición ante una vulneración.</w:t>
      </w:r>
    </w:p>
    <w:p>
      <w:pPr>
        <w:spacing w:after="100" w:line="288"/>
        <w:ind w:left="500" w:hanging="320"/>
        <w:jc w:val="both"/>
      </w:pPr>
      <w:r>
        <w:rPr>
          <w:b/>
          <w:bCs/>
        </w:rPr>
        <w:t xml:space="preserve">2.</w:t>
      </w:r>
      <w:r>
        <w:t xml:space="preserve">	Cifrado de credenciales. Los tokens de los conectores se almacenan cifrados y no se exponen en la interfaz ni en los registros de la aplicación.</w:t>
      </w:r>
    </w:p>
    <w:p>
      <w:pPr>
        <w:spacing w:after="100" w:line="288"/>
        <w:ind w:left="500" w:hanging="320"/>
        <w:jc w:val="both"/>
      </w:pPr>
      <w:r>
        <w:rPr>
          <w:b/>
          <w:bCs/>
        </w:rPr>
        <w:t xml:space="preserve">3.</w:t>
      </w:r>
      <w:r>
        <w:t xml:space="preserve">	Consentimiento separado y revocable por conector. La aceptación de los términos de la aplicación no habilita la lectura del correo. La desconexión de un conector debe eliminar los datos obtenidos por esa vía, no únicamente revocar el acceso.</w:t>
      </w:r>
    </w:p>
    <w:p>
      <w:pPr>
        <w:spacing w:after="100" w:line="288"/>
        <w:ind w:left="500" w:hanging="320"/>
        <w:jc w:val="both"/>
      </w:pPr>
      <w:r>
        <w:rPr>
          <w:b/>
          <w:bCs/>
        </w:rPr>
        <w:t xml:space="preserve">4.</w:t>
      </w:r>
      <w:r>
        <w:t xml:space="preserve">	Retención acotada. Definir y documentar el período de conservación de los registros de uso.</w:t>
      </w:r>
    </w:p>
    <w:p>
      <w:pPr>
        <w:spacing w:after="100" w:line="288"/>
        <w:ind w:left="500" w:hanging="320"/>
        <w:jc w:val="both"/>
      </w:pPr>
      <w:r>
        <w:rPr>
          <w:b/>
          <w:bCs/>
        </w:rPr>
        <w:t xml:space="preserve">5.</w:t>
      </w:r>
      <w:r>
        <w:t xml:space="preserve">	Aislamiento verificable. El aislamiento multi-tenant deja de constituir solo una decisión técnica: es la medida que impide que los datos de un grupo familiar resulten accesibles a otro.</w:t>
      </w:r>
    </w:p>
    <w:p>
      <w:pPr>
        <w:pStyle w:val="Heading2"/>
        <w:spacing w:after="140" w:before="300"/>
      </w:pPr>
      <w:r>
        <w:rPr>
          <w:b/>
          <w:bCs/>
          <w:color w:val="1F3864"/>
          <w:sz w:val="26"/>
          <w:szCs w:val="26"/>
        </w:rPr>
        <w:t xml:space="preserve">5.3 Una obligación de aplicación inmediata</w:t>
      </w:r>
    </w:p>
    <w:p>
      <w:pPr>
        <w:spacing w:after="140" w:line="300"/>
        <w:jc w:val="both"/>
      </w:pPr>
      <w:r>
        <w:t xml:space="preserve">La planilla de la encuesta contiene dieciséis direcciones de correo electrónico de personas que se ofrecieron a probar la aplicación. Ello constituye tratamiento de datos personales, con independencia de que el software aún no exista.</w:t>
      </w:r>
    </w:p>
    <w:p>
      <w:pPr>
        <w:spacing w:after="80" w:line="300"/>
        <w:jc w:val="both"/>
      </w:pPr>
      <w:r>
        <w:rPr>
          <w:b/>
          <w:bCs/>
        </w:rPr>
        <w:t xml:space="preserve">Medidas adoptadas:</w:t>
      </w:r>
    </w:p>
    <w:p>
      <w:pPr>
        <w:spacing w:after="80" w:line="288"/>
        <w:ind w:left="460" w:hanging="240"/>
        <w:jc w:val="both"/>
      </w:pPr>
      <w:r>
        <w:t xml:space="preserve">—	La carpeta de documentación se encuentra excluida del repositorio público.</w:t>
      </w:r>
    </w:p>
    <w:p>
      <w:pPr>
        <w:spacing w:after="80" w:line="288"/>
        <w:ind w:left="460" w:hanging="240"/>
        <w:jc w:val="both"/>
      </w:pPr>
      <w:r>
        <w:t xml:space="preserve">—	Dichas direcciones se emplean únicamente para el fin declarado al momento de recogerlas.</w:t>
      </w:r>
    </w:p>
    <w:p>
      <w:pPr>
        <w:spacing w:after="80" w:line="288"/>
        <w:ind w:left="460" w:hanging="240"/>
        <w:jc w:val="both"/>
      </w:pPr>
      <w:r>
        <w:t xml:space="preserve">—	Deben eliminarse al término del proyecto en caso de no concretarse la invitación.</w:t>
      </w:r>
    </w:p>
    <w:p>
      <w:r>
        <w:br w:type="page"/>
      </w:r>
    </w:p>
    <w:p>
      <w:pPr>
        <w:pStyle w:val="Heading1"/>
        <w:spacing w:after="200" w:before="380"/>
      </w:pPr>
      <w:r>
        <w:rPr>
          <w:b/>
          <w:bCs/>
          <w:color w:val="1F3864"/>
          <w:sz w:val="32"/>
          <w:szCs w:val="32"/>
        </w:rPr>
        <w:t xml:space="preserve">Fuentes consultadas</w:t>
      </w:r>
    </w:p>
    <w:p>
      <w:pPr>
        <w:spacing w:after="140" w:line="300"/>
        <w:jc w:val="both"/>
      </w:pPr>
      <w:r>
        <w:t xml:space="preserve">Todas las fuentes fueron verificadas el 26 de agosto de 2026.</w:t>
      </w:r>
    </w:p>
    <w:p>
      <w:pPr>
        <w:pBdr>
          <w:left w:val="single" w:color="1F3864" w:sz="12" w:space="10"/>
        </w:pBdr>
        <w:spacing w:after="170" w:before="130" w:line="276"/>
        <w:ind w:left="340"/>
        <w:jc w:val="both"/>
      </w:pPr>
      <w:r>
        <w:rPr>
          <w:i/>
          <w:iCs/>
          <w:color w:val="444444"/>
          <w:sz w:val="20"/>
          <w:szCs w:val="20"/>
        </w:rPr>
        <w:t xml:space="preserve">Las condiciones comerciales y los plazos regulatorios están sujetos a cambio. El calendario del Sistema de Finanzas Abiertas ya fue modificado en una oportunidad. Corresponde reverificar antes de la entrega final.</w:t>
      </w:r>
    </w:p>
    <w:p>
      <w:pPr>
        <w:spacing w:after="90" w:line="276"/>
        <w:ind w:left="460" w:hanging="240"/>
      </w:pPr>
      <w:r>
        <w:rPr>
          <w:sz w:val="19"/>
          <w:szCs w:val="19"/>
        </w:rPr>
        <w:t xml:space="preserve">—	CMF — </w:t>
      </w:r>
      <w:hyperlink w:history="1" r:id="rIdtqvr4ipesbtljsje_ic-c">
        <w:r>
          <w:rPr>
            <w:color w:val="2E5395"/>
            <w:sz w:val="19"/>
            <w:szCs w:val="19"/>
            <w:u w:val="single"/>
          </w:rPr>
          <w:t xml:space="preserve">Norma que regula el Sistema de Finanzas Abiertas</w:t>
        </w:r>
      </w:hyperlink>
    </w:p>
    <w:p>
      <w:pPr>
        <w:spacing w:after="90" w:line="276"/>
        <w:ind w:left="460" w:hanging="240"/>
      </w:pPr>
      <w:r>
        <w:rPr>
          <w:sz w:val="19"/>
          <w:szCs w:val="19"/>
        </w:rPr>
        <w:t xml:space="preserve">—	CMF — </w:t>
      </w:r>
      <w:hyperlink w:history="1" r:id="rIdxo8xwoe6loqh_2z4lch8_">
        <w:r>
          <w:rPr>
            <w:color w:val="2E5395"/>
            <w:sz w:val="19"/>
            <w:szCs w:val="19"/>
            <w:u w:val="single"/>
          </w:rPr>
          <w:t xml:space="preserve">Consulta pública sobre modificaciones al Sistema de Finanzas Abiertas</w:t>
        </w:r>
      </w:hyperlink>
    </w:p>
    <w:p>
      <w:pPr>
        <w:spacing w:after="90" w:line="276"/>
        <w:ind w:left="460" w:hanging="240"/>
      </w:pPr>
      <w:r>
        <w:rPr>
          <w:sz w:val="19"/>
          <w:szCs w:val="19"/>
        </w:rPr>
        <w:t xml:space="preserve">—	CMF — </w:t>
      </w:r>
      <w:hyperlink w:history="1" r:id="rIdaildavraztpk678hucixa">
        <w:r>
          <w:rPr>
            <w:color w:val="2E5395"/>
            <w:sz w:val="19"/>
            <w:szCs w:val="19"/>
            <w:u w:val="single"/>
          </w:rPr>
          <w:t xml:space="preserve">Claves de la actualización de la NCG 514</w:t>
        </w:r>
      </w:hyperlink>
    </w:p>
    <w:p>
      <w:pPr>
        <w:spacing w:after="90" w:line="276"/>
        <w:ind w:left="460" w:hanging="240"/>
      </w:pPr>
      <w:r>
        <w:rPr>
          <w:sz w:val="19"/>
          <w:szCs w:val="19"/>
        </w:rPr>
        <w:t xml:space="preserve">—	Cuatrecasas — </w:t>
      </w:r>
      <w:hyperlink w:history="1" r:id="rId_q9jrfmmfpkgwwlolsy9v">
        <w:r>
          <w:rPr>
            <w:color w:val="2E5395"/>
            <w:sz w:val="19"/>
            <w:szCs w:val="19"/>
            <w:u w:val="single"/>
          </w:rPr>
          <w:t xml:space="preserve">NCG 569 y reglas técnicas del Sistema de Finanzas Abiertas</w:t>
        </w:r>
      </w:hyperlink>
    </w:p>
    <w:p>
      <w:pPr>
        <w:spacing w:after="90" w:line="276"/>
        <w:ind w:left="460" w:hanging="240"/>
      </w:pPr>
      <w:r>
        <w:rPr>
          <w:sz w:val="19"/>
          <w:szCs w:val="19"/>
        </w:rPr>
        <w:t xml:space="preserve">—	Carey — </w:t>
      </w:r>
      <w:hyperlink w:history="1" r:id="rId4l1fbichmqnc_doqlgdlq">
        <w:r>
          <w:rPr>
            <w:color w:val="2E5395"/>
            <w:sz w:val="19"/>
            <w:szCs w:val="19"/>
            <w:u w:val="single"/>
          </w:rPr>
          <w:t xml:space="preserve">Propuesta normativa que posterga doce meses la entrada en vigencia del SFA</w:t>
        </w:r>
      </w:hyperlink>
    </w:p>
    <w:p>
      <w:pPr>
        <w:spacing w:after="90" w:line="276"/>
        <w:ind w:left="460" w:hanging="240"/>
      </w:pPr>
      <w:r>
        <w:rPr>
          <w:sz w:val="19"/>
          <w:szCs w:val="19"/>
        </w:rPr>
        <w:t xml:space="preserve">—	Fintoc — </w:t>
      </w:r>
      <w:hyperlink w:history="1" r:id="rIdigfvkzvfnrtnfp12jskk7">
        <w:r>
          <w:rPr>
            <w:color w:val="2E5395"/>
            <w:sz w:val="19"/>
            <w:szCs w:val="19"/>
            <w:u w:val="single"/>
          </w:rPr>
          <w:t xml:space="preserve">Tarifas y comisiones</w:t>
        </w:r>
      </w:hyperlink>
    </w:p>
    <w:p>
      <w:pPr>
        <w:spacing w:after="90" w:line="276"/>
        <w:ind w:left="460" w:hanging="240"/>
      </w:pPr>
      <w:r>
        <w:rPr>
          <w:sz w:val="19"/>
          <w:szCs w:val="19"/>
        </w:rPr>
        <w:t xml:space="preserve">—	Belvo — </w:t>
      </w:r>
      <w:hyperlink w:history="1" r:id="rId4-vcw2mhp6woukebnpofb">
        <w:r>
          <w:rPr>
            <w:color w:val="2E5395"/>
            <w:sz w:val="19"/>
            <w:szCs w:val="19"/>
            <w:u w:val="single"/>
          </w:rPr>
          <w:t xml:space="preserve">Planes y precios</w:t>
        </w:r>
      </w:hyperlink>
    </w:p>
    <w:p>
      <w:pPr>
        <w:spacing w:after="90" w:line="276"/>
        <w:ind w:left="460" w:hanging="240"/>
      </w:pPr>
      <w:r>
        <w:rPr>
          <w:sz w:val="19"/>
          <w:szCs w:val="19"/>
        </w:rPr>
        <w:t xml:space="preserve">—	Belvo — </w:t>
      </w:r>
      <w:hyperlink w:history="1" r:id="rIdcy7mipgtluqfboevipm99">
        <w:r>
          <w:rPr>
            <w:color w:val="2E5395"/>
            <w:sz w:val="19"/>
            <w:szCs w:val="19"/>
            <w:u w:val="single"/>
          </w:rPr>
          <w:t xml:space="preserve">Documentación del entorno de prueba</w:t>
        </w:r>
      </w:hyperlink>
    </w:p>
    <w:p>
      <w:pPr>
        <w:spacing w:after="90" w:line="276"/>
        <w:ind w:left="460" w:hanging="240"/>
      </w:pPr>
      <w:r>
        <w:rPr>
          <w:sz w:val="19"/>
          <w:szCs w:val="19"/>
        </w:rPr>
        <w:t xml:space="preserve">—	Thomson Reuters — </w:t>
      </w:r>
      <w:hyperlink w:history="1" r:id="rIdczulj7ssmxv0mydiks0-z">
        <w:r>
          <w:rPr>
            <w:color w:val="2E5395"/>
            <w:sz w:val="19"/>
            <w:szCs w:val="19"/>
            <w:u w:val="single"/>
          </w:rPr>
          <w:t xml:space="preserve">Ley 21.719 y la reconstrucción del derecho chileno de protección de datos personales</w:t>
        </w:r>
      </w:hyperlink>
    </w:p>
    <w:p>
      <w:pPr>
        <w:spacing w:after="90" w:line="276"/>
        <w:ind w:left="460" w:hanging="240"/>
      </w:pPr>
      <w:r>
        <w:rPr>
          <w:sz w:val="19"/>
          <w:szCs w:val="19"/>
        </w:rPr>
        <w:t xml:space="preserve">—	Confirmer360 — </w:t>
      </w:r>
      <w:hyperlink w:history="1" r:id="rIdixmud_vj8dlur_xhypau-">
        <w:r>
          <w:rPr>
            <w:color w:val="2E5395"/>
            <w:sz w:val="19"/>
            <w:szCs w:val="19"/>
            <w:u w:val="single"/>
          </w:rPr>
          <w:t xml:space="preserve">Ley 21.719 en banca y servicios financieros</w:t>
        </w:r>
      </w:hyperlink>
    </w:p>
    <w:p>
      <w:pPr>
        <w:spacing w:after="90" w:line="276"/>
        <w:ind w:left="460" w:hanging="240"/>
      </w:pPr>
      <w:r>
        <w:rPr>
          <w:sz w:val="19"/>
          <w:szCs w:val="19"/>
        </w:rPr>
        <w:t xml:space="preserve">—	Calcular.cl — </w:t>
      </w:r>
      <w:hyperlink w:history="1" r:id="rIdhkli34vj22vkcyghtpu7e">
        <w:r>
          <w:rPr>
            <w:color w:val="2E5395"/>
            <w:sz w:val="19"/>
            <w:szCs w:val="19"/>
            <w:u w:val="single"/>
          </w:rPr>
          <w:t xml:space="preserve">Valor de la Unidad de Fomento</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qvr4ipesbtljsje_ic-c" Type="http://schemas.openxmlformats.org/officeDocument/2006/relationships/hyperlink" Target="https://www.cmfchile.cl/portal/prensa/615/w3-article-82737.html" TargetMode="External"/><Relationship Id="rIdxo8xwoe6loqh_2z4lch8_" Type="http://schemas.openxmlformats.org/officeDocument/2006/relationships/hyperlink" Target="https://www.cmfchile.cl/portal/prensa/615/w3-article-100482.html" TargetMode="External"/><Relationship Id="rIdaildavraztpk678hucixa" Type="http://schemas.openxmlformats.org/officeDocument/2006/relationships/hyperlink" Target="https://www.cmfchile.cl/portal/principal/613/articles-100979_doc_pdf.pdf" TargetMode="External"/><Relationship Id="rId_q9jrfmmfpkgwwlolsy9v" Type="http://schemas.openxmlformats.org/officeDocument/2006/relationships/hyperlink" Target="https://www.cuatrecasas.com/es/latam/servicios-financieros-seguros/art/cmf-ncg-569-reglas-tecnicas-sistema-finanzas-abiertas" TargetMode="External"/><Relationship Id="rId4l1fbichmqnc_doqlgdlq" Type="http://schemas.openxmlformats.org/officeDocument/2006/relationships/hyperlink" Target="https://www.carey.cl/propuesta-normativa-de-la-cmf-a-la-ncg-n514-posterga-en-12-meses-la-entrada-en-vigencia-del-sistema-de-finanzas-abiertas-y-otorga-mayor-gradualidad-en-su-implementacion" TargetMode="External"/><Relationship Id="rIdigfvkzvfnrtnfp12jskk7" Type="http://schemas.openxmlformats.org/officeDocument/2006/relationships/hyperlink" Target="https://fintoc.com/cl" TargetMode="External"/><Relationship Id="rId4-vcw2mhp6woukebnpofb" Type="http://schemas.openxmlformats.org/officeDocument/2006/relationships/hyperlink" Target="https://belvo.com/plans-and-pricing/" TargetMode="External"/><Relationship Id="rIdcy7mipgtluqfboevipm99" Type="http://schemas.openxmlformats.org/officeDocument/2006/relationships/hyperlink" Target="https://developers.belvo.com/apis/belvoopenapispec/section/introduction/sandbox" TargetMode="External"/><Relationship Id="rIdczulj7ssmxv0mydiks0-z" Type="http://schemas.openxmlformats.org/officeDocument/2006/relationships/hyperlink" Target="https://www.thomsonreuters.cl/es-cl/soluciones-juridicas/biblioteca-contenido-legal/ley-21719-y-la-reconstruccion-del-derecho-chileno-de-proteccion-de-datos-personales" TargetMode="External"/><Relationship Id="rIdixmud_vj8dlur_xhypau-" Type="http://schemas.openxmlformats.org/officeDocument/2006/relationships/hyperlink" Target="https://confirmer360.com/guias/ley-21719-banca-financiero/" TargetMode="External"/><Relationship Id="rIdhkli34vj22vkcyghtpu7e" Type="http://schemas.openxmlformats.org/officeDocument/2006/relationships/hyperlink" Target="https://www.calcular.cl/valor-uf"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ADR-005 · Origen de los datos de cobros</dc:title>
  <dc:creator>Equipo de proyecto</dc:creator>
  <dc:description>Investigación del ámbito financiero: acceso a datos de cobros en Chile</dc:description>
  <cp:lastModifiedBy>Un-named</cp:lastModifiedBy>
  <cp:revision>1</cp:revision>
  <dcterms:created xsi:type="dcterms:W3CDTF">2026-08-27T01:27:40.004Z</dcterms:created>
  <dcterms:modified xsi:type="dcterms:W3CDTF">2026-08-27T01:27:40.006Z</dcterms:modified>
</cp:coreProperties>
</file>

<file path=docProps/custom.xml><?xml version="1.0" encoding="utf-8"?>
<Properties xmlns="http://schemas.openxmlformats.org/officeDocument/2006/custom-properties" xmlns:vt="http://schemas.openxmlformats.org/officeDocument/2006/docPropsVTypes"/>
</file>