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100"/>
      </w:pPr>
    </w:p>
    <w:p>
      <w:pPr>
        <w:spacing w:after="130"/>
        <w:jc w:val="center"/>
      </w:pPr>
      <w:r>
        <w:rPr>
          <w:b/>
          <w:bCs/>
          <w:color w:val="1F3864"/>
          <w:sz w:val="44"/>
          <w:szCs w:val="44"/>
        </w:rPr>
        <w:t xml:space="preserve">DOCUMENTO DE ARQUITECTURA</w:t>
      </w:r>
    </w:p>
    <w:p>
      <w:pPr>
        <w:spacing w:after="560"/>
        <w:jc w:val="center"/>
      </w:pPr>
      <w:r>
        <w:rPr>
          <w:color w:val="555555"/>
          <w:sz w:val="26"/>
          <w:szCs w:val="26"/>
        </w:rPr>
        <w:t xml:space="preserve">Vistas del sistema y registro de decisiones de arquitectura</w:t>
      </w:r>
    </w:p>
    <w:p>
      <w:pPr>
        <w:spacing w:after="70"/>
        <w:jc w:val="center"/>
      </w:pPr>
      <w:r>
        <w:rPr>
          <w:b/>
          <w:bCs/>
          <w:sz w:val="21"/>
          <w:szCs w:val="21"/>
        </w:rPr>
        <w:t xml:space="preserve">Proyecto: </w:t>
      </w:r>
      <w:r>
        <w:rPr>
          <w:sz w:val="21"/>
          <w:szCs w:val="21"/>
        </w:rPr>
        <w:t xml:space="preserve">Plataforma de control de suscripciones de pago</w:t>
      </w:r>
    </w:p>
    <w:p>
      <w:pPr>
        <w:spacing w:after="70"/>
        <w:jc w:val="center"/>
      </w:pPr>
      <w:r>
        <w:rPr>
          <w:b/>
          <w:bCs/>
          <w:sz w:val="21"/>
          <w:szCs w:val="21"/>
        </w:rPr>
        <w:t xml:space="preserve">Carrera: </w:t>
      </w:r>
      <w:r>
        <w:rPr>
          <w:sz w:val="21"/>
          <w:szCs w:val="21"/>
        </w:rPr>
        <w:t xml:space="preserve">Ingeniería Civil Informática</w:t>
      </w:r>
    </w:p>
    <w:p>
      <w:pPr>
        <w:spacing w:after="70"/>
        <w:jc w:val="center"/>
      </w:pPr>
      <w:r>
        <w:rPr>
          <w:b/>
          <w:bCs/>
          <w:sz w:val="21"/>
          <w:szCs w:val="21"/>
        </w:rPr>
        <w:t xml:space="preserve">Institución: </w:t>
      </w:r>
      <w:r>
        <w:rPr>
          <w:sz w:val="21"/>
          <w:szCs w:val="21"/>
        </w:rPr>
        <w:t xml:space="preserve">Universidad Católica de Temuco</w:t>
      </w:r>
    </w:p>
    <w:p>
      <w:pPr>
        <w:spacing w:after="70"/>
        <w:jc w:val="center"/>
      </w:pPr>
      <w:r>
        <w:rPr>
          <w:b/>
          <w:bCs/>
          <w:sz w:val="21"/>
          <w:szCs w:val="21"/>
        </w:rPr>
        <w:t xml:space="preserve">Decisiones registradas: </w:t>
      </w:r>
      <w:r>
        <w:rPr>
          <w:sz w:val="21"/>
          <w:szCs w:val="21"/>
        </w:rPr>
        <w:t xml:space="preserve">ADR-001 a ADR-006</w:t>
      </w:r>
    </w:p>
    <w:p>
      <w:pPr>
        <w:spacing w:after="70"/>
        <w:jc w:val="center"/>
      </w:pPr>
      <w:r>
        <w:rPr>
          <w:b/>
          <w:bCs/>
          <w:sz w:val="21"/>
          <w:szCs w:val="21"/>
        </w:rPr>
        <w:t xml:space="preserve">Fecha: </w:t>
      </w:r>
      <w:r>
        <w:rPr>
          <w:sz w:val="21"/>
          <w:szCs w:val="21"/>
        </w:rPr>
        <w:t xml:space="preserve">31 de agosto de 2026</w:t>
      </w:r>
    </w:p>
    <w:p>
      <w:r>
        <w:br w:type="page"/>
      </w:r>
    </w:p>
    <w:p>
      <w:pPr>
        <w:pStyle w:val="Heading1"/>
        <w:spacing w:after="200" w:before="380"/>
      </w:pPr>
      <w:r>
        <w:rPr>
          <w:b/>
          <w:bCs/>
          <w:color w:val="1F3864"/>
          <w:sz w:val="32"/>
          <w:szCs w:val="32"/>
        </w:rPr>
        <w:t xml:space="preserve">Índice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777777"/>
          <w:sz w:val="18"/>
          <w:szCs w:val="18"/>
        </w:rPr>
        <w:t xml:space="preserve">Para actualizar: clic derecho sobre el índice → Actualizar campos → Actualizar toda la tabla.</w:t>
      </w:r>
    </w:p>
    <w:p>
      <w:r>
        <w:br w:type="page"/>
      </w:r>
    </w:p>
    <w:p>
      <w:pPr>
        <w:pStyle w:val="Heading1"/>
        <w:spacing w:after="200" w:before="380"/>
      </w:pPr>
      <w:r>
        <w:rPr>
          <w:b/>
          <w:bCs/>
          <w:color w:val="1F3864"/>
          <w:sz w:val="32"/>
          <w:szCs w:val="32"/>
        </w:rPr>
        <w:t xml:space="preserve">1. Introducción</w:t>
      </w:r>
    </w:p>
    <w:p>
      <w:pPr>
        <w:spacing w:after="140" w:line="300"/>
        <w:jc w:val="both"/>
      </w:pPr>
      <w:r>
        <w:t xml:space="preserve">Este documento reúne las vistas arquitectónicas del sistema y el registro completo de las decisiones de arquitectura adoptadas durante el proyecto.</w:t>
      </w:r>
    </w:p>
    <w:p>
      <w:pPr>
        <w:pStyle w:val="Heading2"/>
        <w:spacing w:after="140" w:before="300"/>
      </w:pPr>
      <w:r>
        <w:rPr>
          <w:b/>
          <w:bCs/>
          <w:color w:val="1F3864"/>
          <w:sz w:val="26"/>
          <w:szCs w:val="26"/>
        </w:rPr>
        <w:t xml:space="preserve">1.1 Qué es un ADR</w:t>
      </w:r>
    </w:p>
    <w:p>
      <w:pPr>
        <w:spacing w:after="140" w:line="300"/>
        <w:jc w:val="both"/>
      </w:pPr>
      <w:r>
        <w:t xml:space="preserve">Un </w:t>
      </w:r>
      <w:r>
        <w:rPr>
          <w:b/>
          <w:bCs/>
        </w:rPr>
        <w:t xml:space="preserve">Architecture Decision Record</w:t>
      </w:r>
      <w:r>
        <w:t xml:space="preserve"> (ADR, registro de decisión de arquitectura) es un documento breve que deja constancia de una decisión técnica relevante: el contexto en que se tomó, la alternativa escogida, su justificación y las consecuencias que acarrea.</w:t>
      </w:r>
    </w:p>
    <w:p>
      <w:pPr>
        <w:spacing w:after="140" w:line="300"/>
        <w:jc w:val="both"/>
      </w:pPr>
      <w:r>
        <w:t xml:space="preserve">El formato responde a un problema concreto: en un proyecto de varios meses, las decisiones se toman en conversaciones y se olvidan. Meses después nadie recuerda por qué el sistema hace las cosas de determinada manera, y se revierten decisiones correctas por desconocimiento del razonamiento original.</w:t>
      </w:r>
    </w:p>
    <w:p>
      <w:pPr>
        <w:spacing w:after="140" w:line="300"/>
        <w:jc w:val="both"/>
      </w:pPr>
      <w:r>
        <w:t xml:space="preserve">Cada ADR de este documento sigue la misma estructura: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84"/>
        <w:gridCol w:w="7876"/>
      </w:tblGrid>
      <w:tr>
        <w:trPr>
          <w:tblHeader/>
        </w:trPr>
        <w:tc>
          <w:tcPr>
            <w:tcW w:type="dxa" w:w="1484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Sección</w:t>
            </w:r>
          </w:p>
        </w:tc>
        <w:tc>
          <w:tcPr>
            <w:tcW w:type="dxa" w:w="7876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14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Contexto</w:t>
            </w:r>
          </w:p>
        </w:tc>
        <w:tc>
          <w:tcPr>
            <w:tcW w:type="dxa" w:w="78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La situación que obliga a decidir. Incluye las restricciones vigentes</w:t>
            </w:r>
          </w:p>
        </w:tc>
      </w:tr>
      <w:tr>
        <w:trPr>
          <w:tblHeader w:val="false"/>
        </w:trPr>
        <w:tc>
          <w:tcPr>
            <w:tcW w:type="dxa" w:w="14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Decisión</w:t>
            </w:r>
          </w:p>
        </w:tc>
        <w:tc>
          <w:tcPr>
            <w:tcW w:type="dxa" w:w="78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Qué se resolvió, enunciado de forma inequívoca</w:t>
            </w:r>
          </w:p>
        </w:tc>
      </w:tr>
      <w:tr>
        <w:trPr>
          <w:tblHeader w:val="false"/>
        </w:trPr>
        <w:tc>
          <w:tcPr>
            <w:tcW w:type="dxa" w:w="14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Justificación</w:t>
            </w:r>
          </w:p>
        </w:tc>
        <w:tc>
          <w:tcPr>
            <w:tcW w:type="dxa" w:w="78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Por qué esa alternativa y no otra</w:t>
            </w:r>
          </w:p>
        </w:tc>
      </w:tr>
      <w:tr>
        <w:trPr>
          <w:tblHeader w:val="false"/>
        </w:trPr>
        <w:tc>
          <w:tcPr>
            <w:tcW w:type="dxa" w:w="14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Consecuencias</w:t>
            </w:r>
          </w:p>
        </w:tc>
        <w:tc>
          <w:tcPr>
            <w:tcW w:type="dxa" w:w="78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Efectos positivos y </w:t>
            </w:r>
            <w:r>
              <w:rPr>
                <w:b w:val="false"/>
                <w:bCs w:val="false"/>
                <w:sz w:val="19"/>
                <w:szCs w:val="19"/>
              </w:rPr>
              <w:t xml:space="preserve">negativos</w:t>
            </w:r>
            <w:r>
              <w:rPr>
                <w:b w:val="false"/>
                <w:bCs w:val="false"/>
                <w:sz w:val="19"/>
                <w:szCs w:val="19"/>
              </w:rPr>
              <w:t xml:space="preserve"> de la decisión</w:t>
            </w:r>
          </w:p>
        </w:tc>
      </w:tr>
    </w:tbl>
    <w:p>
      <w:pPr>
        <w:spacing w:after="200"/>
      </w:pPr>
    </w:p>
    <w:p>
      <w:pPr>
        <w:pBdr>
          <w:left w:val="single" w:color="BF9000" w:sz="14" w:space="12"/>
        </w:pBdr>
        <w:shd w:fill="FFF2CC" w:color="auto" w:val="clear"/>
        <w:spacing w:after="160" w:before="160" w:line="300"/>
        <w:ind w:left="300" w:right="300"/>
        <w:jc w:val="both"/>
      </w:pPr>
      <w:r>
        <w:rPr>
          <w:b/>
          <w:bCs/>
          <w:sz w:val="21"/>
          <w:szCs w:val="21"/>
        </w:rPr>
        <w:t xml:space="preserve">La sección de consecuencias negativas no es un formalismo. Una decisión de arquitectura sin costos declarados suele significar que esos costos no se analizaron, no que no existan.</w:t>
      </w:r>
    </w:p>
    <w:p>
      <w:pPr>
        <w:pStyle w:val="Heading2"/>
        <w:spacing w:after="140" w:before="300"/>
      </w:pPr>
      <w:r>
        <w:rPr>
          <w:b/>
          <w:bCs/>
          <w:color w:val="1F3864"/>
          <w:sz w:val="26"/>
          <w:szCs w:val="26"/>
        </w:rPr>
        <w:t xml:space="preserve">1.2 Índice de decisiones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64"/>
        <w:gridCol w:w="7295"/>
        <w:gridCol w:w="1101"/>
      </w:tblGrid>
      <w:tr>
        <w:trPr>
          <w:tblHeader/>
        </w:trPr>
        <w:tc>
          <w:tcPr>
            <w:tcW w:type="dxa" w:w="964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7295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Decisión</w:t>
            </w:r>
          </w:p>
        </w:tc>
        <w:tc>
          <w:tcPr>
            <w:tcW w:type="dxa" w:w="1101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</w:tr>
      <w:tr>
        <w:trPr>
          <w:tblHeader w:val="false"/>
        </w:trPr>
        <w:tc>
          <w:tcPr>
            <w:tcW w:type="dxa" w:w="9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ADR-001</w:t>
            </w:r>
          </w:p>
        </w:tc>
        <w:tc>
          <w:tcPr>
            <w:tcW w:type="dxa" w:w="72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Arquitectura de microservicios</w:t>
            </w:r>
          </w:p>
        </w:tc>
        <w:tc>
          <w:tcPr>
            <w:tcW w:type="dxa" w:w="110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Aceptada</w:t>
            </w:r>
          </w:p>
        </w:tc>
      </w:tr>
      <w:tr>
        <w:trPr>
          <w:tblHeader w:val="false"/>
        </w:trPr>
        <w:tc>
          <w:tcPr>
            <w:tcW w:type="dxa" w:w="9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ADR-002</w:t>
            </w:r>
          </w:p>
        </w:tc>
        <w:tc>
          <w:tcPr>
            <w:tcW w:type="dxa" w:w="72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Un esquema por servicio, no una base por servicio</w:t>
            </w:r>
          </w:p>
        </w:tc>
        <w:tc>
          <w:tcPr>
            <w:tcW w:type="dxa" w:w="110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Aceptada</w:t>
            </w:r>
          </w:p>
        </w:tc>
      </w:tr>
      <w:tr>
        <w:trPr>
          <w:tblHeader w:val="false"/>
        </w:trPr>
        <w:tc>
          <w:tcPr>
            <w:tcW w:type="dxa" w:w="9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ADR-003</w:t>
            </w:r>
          </w:p>
        </w:tc>
        <w:tc>
          <w:tcPr>
            <w:tcW w:type="dxa" w:w="72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Comunicación síncrona y asíncrona</w:t>
            </w:r>
          </w:p>
        </w:tc>
        <w:tc>
          <w:tcPr>
            <w:tcW w:type="dxa" w:w="110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Aceptada</w:t>
            </w:r>
          </w:p>
        </w:tc>
      </w:tr>
      <w:tr>
        <w:trPr>
          <w:tblHeader w:val="false"/>
        </w:trPr>
        <w:tc>
          <w:tcPr>
            <w:tcW w:type="dxa" w:w="9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ADR-004</w:t>
            </w:r>
          </w:p>
        </w:tc>
        <w:tc>
          <w:tcPr>
            <w:tcW w:type="dxa" w:w="72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Autenticación y propagación del contexto multi-tenant</w:t>
            </w:r>
          </w:p>
        </w:tc>
        <w:tc>
          <w:tcPr>
            <w:tcW w:type="dxa" w:w="110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Aceptada</w:t>
            </w:r>
          </w:p>
        </w:tc>
      </w:tr>
      <w:tr>
        <w:trPr>
          <w:tblHeader w:val="false"/>
        </w:trPr>
        <w:tc>
          <w:tcPr>
            <w:tcW w:type="dxa" w:w="9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ADR-005</w:t>
            </w:r>
          </w:p>
        </w:tc>
        <w:tc>
          <w:tcPr>
            <w:tcW w:type="dxa" w:w="72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Origen de los datos de cobros</w:t>
            </w:r>
          </w:p>
        </w:tc>
        <w:tc>
          <w:tcPr>
            <w:tcW w:type="dxa" w:w="110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Aceptada</w:t>
            </w:r>
          </w:p>
        </w:tc>
      </w:tr>
      <w:tr>
        <w:trPr>
          <w:tblHeader w:val="false"/>
        </w:trPr>
        <w:tc>
          <w:tcPr>
            <w:tcW w:type="dxa" w:w="9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ADR-006</w:t>
            </w:r>
          </w:p>
        </w:tc>
        <w:tc>
          <w:tcPr>
            <w:tcW w:type="dxa" w:w="72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Dos clientes: aplicación móvil y aplicación web</w:t>
            </w:r>
          </w:p>
        </w:tc>
        <w:tc>
          <w:tcPr>
            <w:tcW w:type="dxa" w:w="110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Aceptada</w:t>
            </w:r>
          </w:p>
        </w:tc>
      </w:tr>
    </w:tbl>
    <w:p>
      <w:pPr>
        <w:spacing w:after="200"/>
      </w:pPr>
    </w:p>
    <w:p>
      <w:pPr>
        <w:spacing w:after="140" w:line="300"/>
        <w:jc w:val="both"/>
      </w:pPr>
      <w:r>
        <w:rPr>
          <w:sz w:val="20"/>
          <w:szCs w:val="20"/>
        </w:rPr>
        <w:t xml:space="preserve">Ninguna decisión figura como sustituida o revertida. La numeración es correlativa y los identificadores no se reutilizan: si una decisión fuera reemplazada más adelante, se registraría un ADR nuevo indicando cuál sustituye.</w:t>
      </w:r>
    </w:p>
    <w:p>
      <w:pPr>
        <w:pStyle w:val="Heading1"/>
        <w:pageBreakBefore/>
        <w:spacing w:after="200" w:before="380"/>
      </w:pPr>
      <w:r>
        <w:rPr>
          <w:b/>
          <w:bCs/>
          <w:color w:val="1F3864"/>
          <w:sz w:val="32"/>
          <w:szCs w:val="32"/>
        </w:rPr>
        <w:t xml:space="preserve">2. Vistas de la arquitectura</w:t>
      </w:r>
    </w:p>
    <w:p>
      <w:pPr>
        <w:pStyle w:val="Heading2"/>
        <w:spacing w:after="140" w:before="300"/>
      </w:pPr>
      <w:r>
        <w:rPr>
          <w:b/>
          <w:bCs/>
          <w:color w:val="1F3864"/>
          <w:sz w:val="26"/>
          <w:szCs w:val="26"/>
        </w:rPr>
        <w:t xml:space="preserve">2.1 Vista de componentes</w:t>
      </w:r>
    </w:p>
    <w:p>
      <w:pPr>
        <w:spacing w:after="140" w:line="300"/>
        <w:jc w:val="both"/>
      </w:pPr>
      <w:r>
        <w:t xml:space="preserve">Muestra los elementos que componen el sistema y la forma en que se comunican entre sí.</w:t>
      </w:r>
    </w:p>
    <w:p>
      <w:pPr>
        <w:spacing w:after="90" w:before="240"/>
        <w:jc w:val="center"/>
      </w:pPr>
      <w:r>
        <w:drawing>
          <wp:inline distT="0" distB="0" distL="0" distR="0">
            <wp:extent cx="5943600" cy="3638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1. </w:t>
      </w:r>
      <w:r>
        <w:rPr>
          <w:i/>
          <w:iCs/>
          <w:color w:val="555555"/>
          <w:sz w:val="18"/>
          <w:szCs w:val="18"/>
        </w:rPr>
        <w:t xml:space="preserve">Diagrama de componentes del sistema.</w:t>
      </w:r>
    </w:p>
    <w:p>
      <w:pPr>
        <w:spacing w:after="140" w:line="300"/>
        <w:jc w:val="both"/>
      </w:pPr>
      <w:r>
        <w:t xml:space="preserve">El sistema se organiza en cinco servicios de dominio —autenticación, suscripciones, conectores, análisis y notificaciones— más un API Gateway que constituye el único punto de entrada. Cada servicio dispone de su propio esquema de base de datos y publica eventos hacia los demás mediante un intermediario de mensajería.</w:t>
      </w:r>
    </w:p>
    <w:p>
      <w:pPr>
        <w:spacing w:after="140" w:line="300"/>
        <w:jc w:val="both"/>
      </w:pPr>
      <w:r>
        <w:t xml:space="preserve">Los clientes, aplicación móvil y aplicación web, consumen la misma API a través del gateway.</w:t>
      </w:r>
    </w:p>
    <w:p>
      <w:pPr>
        <w:pStyle w:val="Heading2"/>
        <w:spacing w:after="140" w:before="300"/>
      </w:pPr>
      <w:r>
        <w:rPr>
          <w:b/>
          <w:bCs/>
          <w:color w:val="1F3864"/>
          <w:sz w:val="26"/>
          <w:szCs w:val="26"/>
        </w:rPr>
        <w:t xml:space="preserve">2.2 Vista de despliegue</w:t>
      </w:r>
    </w:p>
    <w:p>
      <w:pPr>
        <w:spacing w:after="140" w:line="300"/>
        <w:jc w:val="both"/>
      </w:pPr>
      <w:r>
        <w:t xml:space="preserve">Muestra dónde se ejecuta cada componente y cómo se distribuye la infraestructura.</w:t>
      </w:r>
    </w:p>
    <w:p>
      <w:pPr>
        <w:spacing w:after="90" w:before="240"/>
        <w:jc w:val="center"/>
      </w:pPr>
      <w:r>
        <w:drawing>
          <wp:inline distT="0" distB="0" distL="0" distR="0">
            <wp:extent cx="5943600" cy="4867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2. </w:t>
      </w:r>
      <w:r>
        <w:rPr>
          <w:i/>
          <w:iCs/>
          <w:color w:val="555555"/>
          <w:sz w:val="18"/>
          <w:szCs w:val="18"/>
        </w:rPr>
        <w:t xml:space="preserve">Diagrama de despliegue en el clúster de Kubernetes.</w:t>
      </w:r>
    </w:p>
    <w:p>
      <w:pPr>
        <w:spacing w:after="140" w:line="300"/>
        <w:jc w:val="both"/>
      </w:pPr>
      <w:r>
        <w:t xml:space="preserve">Los servicios de dominio se despliegan sin ruta de entrada desde el exterior: únicamente el gateway y la aplicación web resultan alcanzables desde internet. Esta disposición es la que sustenta el modelo de autenticación descrito en el ADR-004.</w:t>
      </w:r>
    </w:p>
    <w:p>
      <w:pPr>
        <w:pStyle w:val="Heading2"/>
        <w:spacing w:after="140" w:before="300"/>
      </w:pPr>
      <w:r>
        <w:rPr>
          <w:b/>
          <w:bCs/>
          <w:color w:val="1F3864"/>
          <w:sz w:val="26"/>
          <w:szCs w:val="26"/>
        </w:rPr>
        <w:t xml:space="preserve">2.3 Vista de datos</w:t>
      </w:r>
    </w:p>
    <w:p>
      <w:pPr>
        <w:spacing w:after="140" w:line="300"/>
        <w:jc w:val="both"/>
      </w:pPr>
      <w:r>
        <w:t xml:space="preserve">El modelo entidad-relación se presenta particionado por esquema de servicio, conforme a la decisión registrada en el ADR-002.</w:t>
      </w:r>
    </w:p>
    <w:p>
      <w:pPr>
        <w:spacing w:after="90" w:before="240"/>
        <w:jc w:val="center"/>
      </w:pPr>
      <w:r>
        <w:drawing>
          <wp:inline distT="0" distB="0" distL="0" distR="0">
            <wp:extent cx="5943600" cy="3609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b/>
          <w:bCs/>
          <w:i/>
          <w:iCs/>
          <w:color w:val="555555"/>
          <w:sz w:val="18"/>
          <w:szCs w:val="18"/>
        </w:rPr>
        <w:t xml:space="preserve">Figura 3. </w:t>
      </w:r>
      <w:r>
        <w:rPr>
          <w:i/>
          <w:iCs/>
          <w:color w:val="555555"/>
          <w:sz w:val="18"/>
          <w:szCs w:val="18"/>
        </w:rPr>
        <w:t xml:space="preserve">Modelo entidad-relación, particionado por esquema de servicio.</w:t>
      </w:r>
    </w:p>
    <w:p>
      <w:pPr>
        <w:spacing w:after="140" w:line="300"/>
        <w:jc w:val="both"/>
      </w:pPr>
      <w:r>
        <w:t xml:space="preserve">Las líneas continuas representan claves foráneas efectivas, entre tablas que residen en un mismo esquema. Las líneas punteadas indican referencias que cruzan la frontera de un servicio: se implementan como identificadores sin restricción de integridad referencial, y su consistencia se mantiene mediante eventos.</w:t>
      </w:r>
    </w:p>
    <w:p>
      <w:pPr>
        <w:spacing w:after="140" w:line="300"/>
        <w:jc w:val="both"/>
      </w:pPr>
      <w:r>
        <w:t xml:space="preserve">Toda tabla que contiene datos de clientes incorpora el campo </w:t>
      </w:r>
      <w:r>
        <w:rPr>
          <w:b/>
          <w:bCs/>
        </w:rPr>
        <w:t xml:space="preserve">organizacion_id</w:t>
      </w:r>
      <w:r>
        <w:t xml:space="preserve">, que constituye el mecanismo de aislamiento entre organizaciones descrito en el ADR-004.</w:t>
      </w:r>
    </w:p>
    <w:p>
      <w:pPr>
        <w:pStyle w:val="Heading2"/>
        <w:spacing w:after="140" w:before="300"/>
      </w:pPr>
      <w:r>
        <w:rPr>
          <w:b/>
          <w:bCs/>
          <w:color w:val="1F3864"/>
          <w:sz w:val="26"/>
          <w:szCs w:val="26"/>
        </w:rPr>
        <w:t xml:space="preserve">2.4 Vista funcional</w:t>
      </w:r>
    </w:p>
    <w:p>
      <w:pPr>
        <w:spacing w:after="140" w:line="300"/>
        <w:jc w:val="both"/>
      </w:pPr>
      <w:r>
        <w:t xml:space="preserve">El modelo de casos de uso comprende veinticinco casos agrupados en cinco paquetes funcionales: gestión de cuenta, gestión de suscripciones, conectores externos, análisis y recomendación, y alertas.</w:t>
      </w:r>
    </w:p>
    <w:p>
      <w:pPr>
        <w:spacing w:after="140" w:line="300"/>
        <w:jc w:val="both"/>
      </w:pPr>
      <w:r>
        <w:t xml:space="preserve">Dada su extensión, se documenta en un artefacto propio —«Modelo de casos de uso»— que incluye el diagrama en notación UML y las narrativas extendidas de los casos de mayor prioridad, con sus flujos alternativos y excepciones.</w:t>
      </w:r>
    </w:p>
    <w:p>
      <w:pPr>
        <w:pStyle w:val="Heading1"/>
        <w:pageBreakBefore/>
        <w:spacing w:after="200" w:before="380"/>
      </w:pPr>
      <w:r>
        <w:rPr>
          <w:b/>
          <w:bCs/>
          <w:color w:val="1F3864"/>
          <w:sz w:val="32"/>
          <w:szCs w:val="32"/>
        </w:rPr>
        <w:t xml:space="preserve">3. Registro de decisiones de arquitectura</w:t>
      </w:r>
    </w:p>
    <w:p>
      <w:pPr>
        <w:spacing w:after="140" w:line="300"/>
        <w:jc w:val="both"/>
      </w:pPr>
      <w:r>
        <w:t xml:space="preserve">Se transcriben a continuación las seis decisiones registradas, en orden cronológico.</w:t>
      </w:r>
    </w:p>
    <w:p>
      <w:pPr>
        <w:pStyle w:val="Heading2"/>
        <w:spacing w:after="140" w:before="300"/>
      </w:pPr>
      <w:r>
        <w:rPr>
          <w:b/>
          <w:bCs/>
          <w:color w:val="1F3864"/>
          <w:sz w:val="26"/>
          <w:szCs w:val="26"/>
        </w:rPr>
        <w:t xml:space="preserve">3.1 ADR-001 · Arquitectura de microservicios</w:t>
      </w:r>
    </w:p>
    <w:p>
      <w:pPr>
        <w:spacing w:after="140" w:line="300"/>
        <w:jc w:val="both"/>
      </w:pPr>
      <w:r>
        <w:rPr>
          <w:b/>
          <w:bCs/>
        </w:rPr>
        <w:t xml:space="preserve">Fecha:</w:t>
      </w:r>
      <w:r>
        <w:t xml:space="preserve"> 2026-08-21 · </w:t>
      </w:r>
      <w:r>
        <w:rPr>
          <w:b/>
          <w:bCs/>
        </w:rPr>
        <w:t xml:space="preserve">Estado:</w:t>
      </w:r>
      <w:r>
        <w:t xml:space="preserve"> aceptada</w:t>
      </w:r>
    </w:p>
    <w:p>
      <w:pPr>
        <w:pStyle w:val="Heading4"/>
        <w:spacing w:after="90" w:before="200"/>
      </w:pPr>
      <w:r>
        <w:rPr>
          <w:b/>
          <w:bCs/>
          <w:color w:val="2E5395"/>
          <w:sz w:val="21"/>
          <w:szCs w:val="21"/>
        </w:rPr>
        <w:t xml:space="preserve">Contexto</w:t>
      </w:r>
    </w:p>
    <w:p>
      <w:pPr>
        <w:spacing w:after="140" w:line="300"/>
        <w:jc w:val="both"/>
      </w:pPr>
      <w:r>
        <w:t xml:space="preserve">El sistema es un SaaS multi-tenant con seis desarrolladores y un semestre de plazo. Se evaluaron dos estilos: monolito modular y microservicios.</w:t>
      </w:r>
    </w:p>
    <w:p>
      <w:pPr>
        <w:spacing w:after="140" w:line="300"/>
        <w:jc w:val="both"/>
      </w:pPr>
      <w:r>
        <w:t xml:space="preserve">Se identificaron componentes con características de operación marcadamente distintas:</w:t>
      </w:r>
    </w:p>
    <w:p>
      <w:pPr>
        <w:spacing w:after="80" w:line="288"/>
        <w:ind w:left="460" w:hanging="240"/>
        <w:jc w:val="both"/>
      </w:pPr>
      <w:r>
        <w:t xml:space="preserve">—	</w:t>
      </w:r>
      <w:r>
        <w:rPr>
          <w:b/>
          <w:bCs/>
        </w:rPr>
        <w:t xml:space="preserve">Conectores externos</w:t>
      </w:r>
      <w:r>
        <w:t xml:space="preserve">: dependen de APIs de terceros inestables, con límites de peticiones y fallos frecuentes. Su tasa de cambio es alta.</w:t>
      </w:r>
    </w:p>
    <w:p>
      <w:pPr>
        <w:spacing w:after="80" w:line="288"/>
        <w:ind w:left="460" w:hanging="240"/>
        <w:jc w:val="both"/>
      </w:pPr>
      <w:r>
        <w:t xml:space="preserve">—	</w:t>
      </w:r>
      <w:r>
        <w:rPr>
          <w:b/>
          <w:bCs/>
        </w:rPr>
        <w:t xml:space="preserve">Análisis y recomendación</w:t>
      </w:r>
      <w:r>
        <w:t xml:space="preserve">: cómputo pesado y periódico, no ligado al ciclo de petición y respuesta.</w:t>
      </w:r>
    </w:p>
    <w:p>
      <w:pPr>
        <w:spacing w:after="80" w:line="288"/>
        <w:ind w:left="460" w:hanging="240"/>
        <w:jc w:val="both"/>
      </w:pPr>
      <w:r>
        <w:t xml:space="preserve">—	</w:t>
      </w:r>
      <w:r>
        <w:rPr>
          <w:b/>
          <w:bCs/>
        </w:rPr>
        <w:t xml:space="preserve">Autenticación</w:t>
      </w:r>
      <w:r>
        <w:t xml:space="preserve">: transversal, de bajo cambio y alta criticidad.</w:t>
      </w:r>
    </w:p>
    <w:p>
      <w:pPr>
        <w:spacing w:after="80" w:line="288"/>
        <w:ind w:left="460" w:hanging="240"/>
        <w:jc w:val="both"/>
      </w:pPr>
      <w:r>
        <w:t xml:space="preserve">—	</w:t>
      </w:r>
      <w:r>
        <w:rPr>
          <w:b/>
          <w:bCs/>
        </w:rPr>
        <w:t xml:space="preserve">Notificaciones</w:t>
      </w:r>
      <w:r>
        <w:t xml:space="preserve">: responsabilidad única, sin dependencias del dominio.</w:t>
      </w:r>
    </w:p>
    <w:p>
      <w:pPr>
        <w:pStyle w:val="Heading4"/>
        <w:spacing w:after="90" w:before="200"/>
      </w:pPr>
      <w:r>
        <w:rPr>
          <w:b/>
          <w:bCs/>
          <w:color w:val="2E5395"/>
          <w:sz w:val="21"/>
          <w:szCs w:val="21"/>
        </w:rPr>
        <w:t xml:space="preserve">Decisión</w:t>
      </w:r>
    </w:p>
    <w:p>
      <w:pPr>
        <w:spacing w:after="140" w:line="300"/>
        <w:jc w:val="both"/>
      </w:pPr>
      <w:r>
        <w:t xml:space="preserve">Arquitectura de </w:t>
      </w:r>
      <w:r>
        <w:rPr>
          <w:b/>
          <w:bCs/>
        </w:rPr>
        <w:t xml:space="preserve">microservicios</w:t>
      </w:r>
      <w:r>
        <w:t xml:space="preserve"> con cinco servicios de dominio más un API Gateway como punto único de entrada.</w:t>
      </w:r>
    </w:p>
    <w:p>
      <w:pPr>
        <w:pStyle w:val="Heading4"/>
        <w:spacing w:after="90" w:before="200"/>
      </w:pPr>
      <w:r>
        <w:rPr>
          <w:b/>
          <w:bCs/>
          <w:color w:val="2E5395"/>
          <w:sz w:val="21"/>
          <w:szCs w:val="21"/>
        </w:rPr>
        <w:t xml:space="preserve">Justificación</w:t>
      </w:r>
    </w:p>
    <w:p>
      <w:pPr>
        <w:spacing w:after="90" w:line="288"/>
        <w:ind w:left="520" w:hanging="340"/>
        <w:jc w:val="both"/>
      </w:pPr>
      <w:r>
        <w:rPr>
          <w:b/>
          <w:bCs/>
        </w:rPr>
        <w:t xml:space="preserve">1.	</w:t>
      </w:r>
      <w:r>
        <w:rPr>
          <w:b/>
          <w:bCs/>
        </w:rPr>
        <w:t xml:space="preserve">Aislamiento de fallos.</w:t>
      </w:r>
      <w:r>
        <w:t xml:space="preserve"> Si la API de Spotify deja de responder, se degrada únicamente </w:t>
      </w:r>
      <w:r>
        <w:rPr>
          <w:rFonts w:ascii="Consolas" w:cs="Consolas" w:eastAsia="Consolas" w:hAnsi="Consolas"/>
        </w:rPr>
        <w:t xml:space="preserve">connectors</w:t>
      </w:r>
      <w:r>
        <w:t xml:space="preserve">. El resto del sistema sigue operando: el usuario puede consultar su panel y registrar suscripciones sin verse afectado.</w:t>
      </w:r>
    </w:p>
    <w:p>
      <w:pPr>
        <w:spacing w:after="90" w:line="288"/>
        <w:ind w:left="520" w:hanging="340"/>
        <w:jc w:val="both"/>
      </w:pPr>
      <w:r>
        <w:rPr>
          <w:b/>
          <w:bCs/>
        </w:rPr>
        <w:t xml:space="preserve">2.	</w:t>
      </w:r>
      <w:r>
        <w:rPr>
          <w:b/>
          <w:bCs/>
        </w:rPr>
        <w:t xml:space="preserve">Escalamiento independiente.</w:t>
      </w:r>
      <w:r>
        <w:t xml:space="preserve"> </w:t>
      </w:r>
      <w:r>
        <w:rPr>
          <w:rFonts w:ascii="Consolas" w:cs="Consolas" w:eastAsia="Consolas" w:hAnsi="Consolas"/>
        </w:rPr>
        <w:t xml:space="preserve">analytics</w:t>
      </w:r>
      <w:r>
        <w:t xml:space="preserve"> y </w:t>
      </w:r>
      <w:r>
        <w:rPr>
          <w:rFonts w:ascii="Consolas" w:cs="Consolas" w:eastAsia="Consolas" w:hAnsi="Consolas"/>
        </w:rPr>
        <w:t xml:space="preserve">connectors</w:t>
      </w:r>
      <w:r>
        <w:t xml:space="preserve"> tienen perfiles de carga distintos al resto y pueden escalarse por separado.</w:t>
      </w:r>
    </w:p>
    <w:p>
      <w:pPr>
        <w:spacing w:after="90" w:line="288"/>
        <w:ind w:left="520" w:hanging="340"/>
        <w:jc w:val="both"/>
      </w:pPr>
      <w:r>
        <w:rPr>
          <w:b/>
          <w:bCs/>
        </w:rPr>
        <w:t xml:space="preserve">3.	</w:t>
      </w:r>
      <w:r>
        <w:rPr>
          <w:b/>
          <w:bCs/>
        </w:rPr>
        <w:t xml:space="preserve">Contención de la volatilidad.</w:t>
      </w:r>
      <w:r>
        <w:t xml:space="preserve"> Los cambios de las APIs externas quedan confinados a un servicio y no se propagan al modelo de dominio.</w:t>
      </w:r>
    </w:p>
    <w:p>
      <w:pPr>
        <w:spacing w:after="90" w:line="288"/>
        <w:ind w:left="520" w:hanging="340"/>
        <w:jc w:val="both"/>
      </w:pPr>
      <w:r>
        <w:rPr>
          <w:b/>
          <w:bCs/>
        </w:rPr>
        <w:t xml:space="preserve">4.	</w:t>
      </w:r>
      <w:r>
        <w:rPr>
          <w:b/>
          <w:bCs/>
        </w:rPr>
        <w:t xml:space="preserve">Alineación con la estructura del equipo.</w:t>
      </w:r>
      <w:r>
        <w:t xml:space="preserve"> Seis personas, seis componentes. Cada integrante es dueño de uno, con su propio despliegue y sus pruebas. Esto reduce los conflictos de integración, que en equipos de este tamaño son una fuente real de pérdida de tiempo.</w:t>
      </w:r>
    </w:p>
    <w:p>
      <w:pPr>
        <w:spacing w:after="90" w:line="288"/>
        <w:ind w:left="520" w:hanging="340"/>
        <w:jc w:val="both"/>
      </w:pPr>
      <w:r>
        <w:rPr>
          <w:b/>
          <w:bCs/>
        </w:rPr>
        <w:t xml:space="preserve">5.	</w:t>
      </w:r>
      <w:r>
        <w:rPr>
          <w:b/>
          <w:bCs/>
        </w:rPr>
        <w:t xml:space="preserve">Fronteras explícitas.</w:t>
      </w:r>
      <w:r>
        <w:t xml:space="preserve"> Cada servicio publica un contrato OpenAPI. Las dependencias entre componentes quedan documentadas y son verificables.</w:t>
      </w:r>
    </w:p>
    <w:p>
      <w:pPr>
        <w:pStyle w:val="Heading4"/>
        <w:spacing w:after="90" w:before="200"/>
      </w:pPr>
      <w:r>
        <w:rPr>
          <w:b/>
          <w:bCs/>
          <w:color w:val="2E5395"/>
          <w:sz w:val="21"/>
          <w:szCs w:val="21"/>
        </w:rPr>
        <w:t xml:space="preserve">Consecuencias</w:t>
      </w:r>
    </w:p>
    <w:p>
      <w:pPr>
        <w:spacing w:after="140" w:line="300"/>
        <w:jc w:val="both"/>
      </w:pPr>
      <w:r>
        <w:rPr>
          <w:b/>
          <w:bCs/>
        </w:rPr>
        <w:t xml:space="preserve">Positivas</w:t>
      </w:r>
    </w:p>
    <w:p>
      <w:pPr>
        <w:spacing w:after="80" w:line="288"/>
        <w:ind w:left="460" w:hanging="240"/>
        <w:jc w:val="both"/>
      </w:pPr>
      <w:r>
        <w:t xml:space="preserve">—	</w:t>
      </w:r>
      <w:r>
        <w:t xml:space="preserve">Fallos aislados por servicio</w:t>
      </w:r>
    </w:p>
    <w:p>
      <w:pPr>
        <w:spacing w:after="80" w:line="288"/>
        <w:ind w:left="460" w:hanging="240"/>
        <w:jc w:val="both"/>
      </w:pPr>
      <w:r>
        <w:t xml:space="preserve">—	</w:t>
      </w:r>
      <w:r>
        <w:t xml:space="preserve">Despliegue y escalamiento independientes</w:t>
      </w:r>
    </w:p>
    <w:p>
      <w:pPr>
        <w:spacing w:after="80" w:line="288"/>
        <w:ind w:left="460" w:hanging="240"/>
        <w:jc w:val="both"/>
      </w:pPr>
      <w:r>
        <w:t xml:space="preserve">—	</w:t>
      </w:r>
      <w:r>
        <w:t xml:space="preserve">Propiedad clara del código por persona</w:t>
      </w:r>
    </w:p>
    <w:p>
      <w:pPr>
        <w:spacing w:after="80" w:line="288"/>
        <w:ind w:left="460" w:hanging="240"/>
        <w:jc w:val="both"/>
      </w:pPr>
      <w:r>
        <w:t xml:space="preserve">—	</w:t>
      </w:r>
      <w:r>
        <w:t xml:space="preserve">Contratos explícitos entre componentes</w:t>
      </w:r>
    </w:p>
    <w:p>
      <w:pPr>
        <w:spacing w:after="140" w:line="300"/>
        <w:jc w:val="both"/>
      </w:pPr>
      <w:r>
        <w:rPr>
          <w:b/>
          <w:bCs/>
        </w:rPr>
        <w:t xml:space="preserve">Negativas — asumidas conscientemente</w:t>
      </w:r>
    </w:p>
    <w:p>
      <w:pPr>
        <w:spacing w:after="80" w:line="288"/>
        <w:ind w:left="460" w:hanging="240"/>
        <w:jc w:val="both"/>
      </w:pPr>
      <w:r>
        <w:t xml:space="preserve">—	</w:t>
      </w:r>
      <w:r>
        <w:rPr>
          <w:b/>
          <w:bCs/>
        </w:rPr>
        <w:t xml:space="preserve">Mayor complejidad operativa.</w:t>
      </w:r>
      <w:r>
        <w:t xml:space="preserve"> Seis procesos, un broker de mensajes y una base de datos. Se mitiga con Docker Compose: un solo comando levanta todo.</w:t>
      </w:r>
    </w:p>
    <w:p>
      <w:pPr>
        <w:spacing w:after="80" w:line="288"/>
        <w:ind w:left="460" w:hanging="240"/>
        <w:jc w:val="both"/>
      </w:pPr>
      <w:r>
        <w:t xml:space="preserve">—	</w:t>
      </w:r>
      <w:r>
        <w:rPr>
          <w:b/>
          <w:bCs/>
        </w:rPr>
        <w:t xml:space="preserve">Depuración distribuida.</w:t>
      </w:r>
      <w:r>
        <w:t xml:space="preserve"> Un error puede atravesar tres servicios. Se mitiga con un identificador de correlación propagado en cada petición y evento.</w:t>
      </w:r>
    </w:p>
    <w:p>
      <w:pPr>
        <w:spacing w:after="80" w:line="288"/>
        <w:ind w:left="460" w:hanging="240"/>
        <w:jc w:val="both"/>
      </w:pPr>
      <w:r>
        <w:t xml:space="preserve">—	</w:t>
      </w:r>
      <w:r>
        <w:rPr>
          <w:b/>
          <w:bCs/>
        </w:rPr>
        <w:t xml:space="preserve">Consistencia eventual.</w:t>
      </w:r>
      <w:r>
        <w:t xml:space="preserve"> Las operaciones que cruzan servicios no son transaccionales. Se acepta porque el dominio lo tolera: que una recomendación se calcule algunos segundos después de registrarse el uso no tiene impacto.</w:t>
      </w:r>
    </w:p>
    <w:p>
      <w:pPr>
        <w:spacing w:after="80" w:line="288"/>
        <w:ind w:left="460" w:hanging="240"/>
        <w:jc w:val="both"/>
      </w:pPr>
      <w:r>
        <w:t xml:space="preserve">—	</w:t>
      </w:r>
      <w:r>
        <w:rPr>
          <w:b/>
          <w:bCs/>
        </w:rPr>
        <w:t xml:space="preserve">Sobrecarga inicial.</w:t>
      </w:r>
      <w:r>
        <w:t xml:space="preserve"> Levantar seis esqueletos toma más tiempo que uno solo. Se concentra en la primera semana y se amortiza durante el resto del proyecto.</w:t>
      </w:r>
    </w:p>
    <w:p>
      <w:pPr>
        <w:pStyle w:val="Heading4"/>
        <w:spacing w:after="90" w:before="200"/>
      </w:pPr>
      <w:r>
        <w:rPr>
          <w:b/>
          <w:bCs/>
          <w:color w:val="2E5395"/>
          <w:sz w:val="21"/>
          <w:szCs w:val="21"/>
        </w:rPr>
        <w:t xml:space="preserve">Alternativa descartada</w:t>
      </w:r>
    </w:p>
    <w:p>
      <w:pPr>
        <w:spacing w:after="140" w:line="300"/>
        <w:jc w:val="both"/>
      </w:pPr>
      <w:r>
        <w:rPr>
          <w:b/>
          <w:bCs/>
        </w:rPr>
        <w:t xml:space="preserve">Monolito modular.</w:t>
      </w:r>
      <w:r>
        <w:t xml:space="preserve"> Menor complejidad operativa y desarrollo inicial más rápido. Se descartó porque no ofrece aislamiento de fallos frente a las APIs externas — que son el punto más frágil del sistema — ni permite la propiedad independiente del código por integrante.</w:t>
      </w:r>
    </w:p>
    <w:p>
      <w:pPr>
        <w:pStyle w:val="Heading4"/>
        <w:spacing w:after="90" w:before="200"/>
      </w:pPr>
      <w:r>
        <w:rPr>
          <w:b/>
          <w:bCs/>
          <w:color w:val="2E5395"/>
          <w:sz w:val="21"/>
          <w:szCs w:val="21"/>
        </w:rPr>
        <w:t xml:space="preserve">Riesgo declarado</w:t>
      </w:r>
    </w:p>
    <w:p>
      <w:pPr>
        <w:spacing w:after="140" w:line="300"/>
        <w:jc w:val="both"/>
      </w:pPr>
      <w:r>
        <w:t xml:space="preserve">El riesgo principal es que la complejidad operativa consuma tiempo destinado a funcionalidad.</w:t>
      </w:r>
    </w:p>
    <w:p>
      <w:pPr>
        <w:spacing w:after="140" w:line="300"/>
        <w:jc w:val="both"/>
      </w:pPr>
      <w:r>
        <w:rPr>
          <w:b/>
          <w:bCs/>
        </w:rPr>
        <w:t xml:space="preserve">Mitigación:</w:t>
      </w:r>
      <w:r>
        <w:t xml:space="preserve"> los servicios </w:t>
      </w:r>
      <w:r>
        <w:rPr>
          <w:rFonts w:ascii="Consolas" w:cs="Consolas" w:eastAsia="Consolas" w:hAnsi="Consolas"/>
        </w:rPr>
        <w:t xml:space="preserve">notifications</w:t>
      </w:r>
      <w:r>
        <w:t xml:space="preserve"> y </w:t>
      </w:r>
      <w:r>
        <w:rPr>
          <w:rFonts w:ascii="Consolas" w:cs="Consolas" w:eastAsia="Consolas" w:hAnsi="Consolas"/>
        </w:rPr>
        <w:t xml:space="preserve">analytics</w:t>
      </w:r>
      <w:r>
        <w:t xml:space="preserve"> están diseñados para poder fusionarse en uno solo si a mitad del proyecto el avance no es el esperado. Las fronteras están definidas de modo que esa fusión no obligue a rediseñar el resto del sistema.</w:t>
      </w:r>
    </w:p>
    <w:p>
      <w:pPr>
        <w:pStyle w:val="Heading2"/>
        <w:pageBreakBefore/>
        <w:spacing w:after="140" w:before="300"/>
      </w:pPr>
      <w:r>
        <w:rPr>
          <w:b/>
          <w:bCs/>
          <w:color w:val="1F3864"/>
          <w:sz w:val="26"/>
          <w:szCs w:val="26"/>
        </w:rPr>
        <w:t xml:space="preserve">3.2 ADR-002 · Un esquema por servicio, no una base por servicio</w:t>
      </w:r>
    </w:p>
    <w:p>
      <w:pPr>
        <w:spacing w:after="140" w:line="300"/>
        <w:jc w:val="both"/>
      </w:pPr>
      <w:r>
        <w:rPr>
          <w:b/>
          <w:bCs/>
        </w:rPr>
        <w:t xml:space="preserve">Fecha:</w:t>
      </w:r>
      <w:r>
        <w:t xml:space="preserve"> 2026-08-21 · </w:t>
      </w:r>
      <w:r>
        <w:rPr>
          <w:b/>
          <w:bCs/>
        </w:rPr>
        <w:t xml:space="preserve">Estado:</w:t>
      </w:r>
      <w:r>
        <w:t xml:space="preserve"> aceptada</w:t>
      </w:r>
    </w:p>
    <w:p>
      <w:pPr>
        <w:pStyle w:val="Heading4"/>
        <w:spacing w:after="90" w:before="200"/>
      </w:pPr>
      <w:r>
        <w:rPr>
          <w:b/>
          <w:bCs/>
          <w:color w:val="2E5395"/>
          <w:sz w:val="21"/>
          <w:szCs w:val="21"/>
        </w:rPr>
        <w:t xml:space="preserve">Contexto</w:t>
      </w:r>
    </w:p>
    <w:p>
      <w:pPr>
        <w:spacing w:after="140" w:line="300"/>
        <w:jc w:val="both"/>
      </w:pPr>
      <w:r>
        <w:t xml:space="preserve">La ortodoxia de microservicios indica </w:t>
      </w:r>
      <w:r>
        <w:rPr>
          <w:b/>
          <w:bCs/>
        </w:rPr>
        <w:t xml:space="preserve">database per service</w:t>
      </w:r>
      <w:r>
        <w:t xml:space="preserve">: cada servicio con su propia instancia de base de datos, sin acceso al almacenamiento de los demás.</w:t>
      </w:r>
    </w:p>
    <w:p>
      <w:pPr>
        <w:spacing w:after="140" w:line="300"/>
        <w:jc w:val="both"/>
      </w:pPr>
      <w:r>
        <w:t xml:space="preserve">En el contexto de este proyecto, cinco instancias de PostgreSQL implican cinco configuraciones, cinco respaldos y cinco despliegues, sobre planes gratuitos de hospedaje que limitan la cantidad de bases de datos disponibles.</w:t>
      </w:r>
    </w:p>
    <w:p>
      <w:pPr>
        <w:pStyle w:val="Heading4"/>
        <w:spacing w:after="90" w:before="200"/>
      </w:pPr>
      <w:r>
        <w:rPr>
          <w:b/>
          <w:bCs/>
          <w:color w:val="2E5395"/>
          <w:sz w:val="21"/>
          <w:szCs w:val="21"/>
        </w:rPr>
        <w:t xml:space="preserve">Decisión</w:t>
      </w:r>
    </w:p>
    <w:p>
      <w:pPr>
        <w:spacing w:after="140" w:line="300"/>
        <w:jc w:val="both"/>
      </w:pPr>
      <w:r>
        <w:rPr>
          <w:b/>
          <w:bCs/>
        </w:rPr>
        <w:t xml:space="preserve">Un esquema de PostgreSQL por servicio</w:t>
      </w:r>
      <w:r>
        <w:t xml:space="preserve">, dentro de una única instancia. La separación lógica es estricta:</w:t>
      </w:r>
    </w:p>
    <w:p>
      <w:pPr>
        <w:spacing w:after="80" w:line="288"/>
        <w:ind w:left="460" w:hanging="240"/>
        <w:jc w:val="both"/>
      </w:pPr>
      <w:r>
        <w:t xml:space="preserve">—	</w:t>
      </w:r>
      <w:r>
        <w:t xml:space="preserve">Ningún servicio consulta el esquema de otro. Nunca.</w:t>
      </w:r>
    </w:p>
    <w:p>
      <w:pPr>
        <w:spacing w:after="80" w:line="288"/>
        <w:ind w:left="460" w:hanging="240"/>
        <w:jc w:val="both"/>
      </w:pPr>
      <w:r>
        <w:t xml:space="preserve">—	</w:t>
      </w:r>
      <w:r>
        <w:t xml:space="preserve">No existen claves foráneas entre esquemas.</w:t>
      </w:r>
    </w:p>
    <w:p>
      <w:pPr>
        <w:spacing w:after="80" w:line="288"/>
        <w:ind w:left="460" w:hanging="240"/>
        <w:jc w:val="both"/>
      </w:pPr>
      <w:r>
        <w:t xml:space="preserve">—	</w:t>
      </w:r>
      <w:r>
        <w:t xml:space="preserve">Los datos que un servicio necesita de otro se obtienen por HTTP o llegan por evento, y se almacenan desnormalizados cuando corresponde.</w:t>
      </w:r>
    </w:p>
    <w:p>
      <w:pPr>
        <w:pStyle w:val="Heading4"/>
        <w:spacing w:after="90" w:before="200"/>
      </w:pPr>
      <w:r>
        <w:rPr>
          <w:b/>
          <w:bCs/>
          <w:color w:val="2E5395"/>
          <w:sz w:val="21"/>
          <w:szCs w:val="21"/>
        </w:rPr>
        <w:t xml:space="preserve">Justificación</w:t>
      </w:r>
    </w:p>
    <w:p>
      <w:pPr>
        <w:spacing w:after="140" w:line="300"/>
        <w:jc w:val="both"/>
      </w:pPr>
      <w:r>
        <w:t xml:space="preserve">La regla que realmente importa de </w:t>
      </w:r>
      <w:r>
        <w:rPr>
          <w:b/>
          <w:bCs/>
        </w:rPr>
        <w:t xml:space="preserve">database per service</w:t>
      </w:r>
      <w:r>
        <w:t xml:space="preserve"> es que ningún servicio lea directamente el almacenamiento de otro. Esa regla se cumple íntegramente con esquemas separados.</w:t>
      </w:r>
    </w:p>
    <w:p>
      <w:pPr>
        <w:spacing w:after="140" w:line="300"/>
        <w:jc w:val="both"/>
      </w:pPr>
      <w:r>
        <w:t xml:space="preserve">Lo que se pierde es el aislamiento físico, que resuelve problemas de escala que este sistema no tiene.</w:t>
      </w:r>
    </w:p>
    <w:p>
      <w:pPr>
        <w:spacing w:after="140" w:line="300"/>
        <w:jc w:val="both"/>
      </w:pPr>
      <w:r>
        <w:t xml:space="preserve">La migración a instancias separadas es posterior y no requiere cambios en el código: basta apuntar cada servicio a una cadena de conexión distinta. Ese es precisamente el argumento — </w:t>
      </w:r>
      <w:r>
        <w:rPr>
          <w:b/>
          <w:bCs/>
        </w:rPr>
        <w:t xml:space="preserve">la decisión es reversible sin costo de rediseño</w:t>
      </w:r>
      <w:r>
        <w:t xml:space="preserve">.</w:t>
      </w:r>
    </w:p>
    <w:p>
      <w:pPr>
        <w:pStyle w:val="Heading4"/>
        <w:spacing w:after="90" w:before="200"/>
      </w:pPr>
      <w:r>
        <w:rPr>
          <w:b/>
          <w:bCs/>
          <w:color w:val="2E5395"/>
          <w:sz w:val="21"/>
          <w:szCs w:val="21"/>
        </w:rPr>
        <w:t xml:space="preserve">Consecuencias</w:t>
      </w:r>
    </w:p>
    <w:p>
      <w:pPr>
        <w:spacing w:after="140" w:line="300"/>
        <w:jc w:val="both"/>
      </w:pPr>
      <w:r>
        <w:rPr>
          <w:b/>
          <w:bCs/>
        </w:rPr>
        <w:t xml:space="preserve">Positivas</w:t>
      </w:r>
    </w:p>
    <w:p>
      <w:pPr>
        <w:spacing w:after="80" w:line="288"/>
        <w:ind w:left="460" w:hanging="240"/>
        <w:jc w:val="both"/>
      </w:pPr>
      <w:r>
        <w:t xml:space="preserve">—	</w:t>
      </w:r>
      <w:r>
        <w:t xml:space="preserve">Una sola instancia que configurar, respaldar y desplegar</w:t>
      </w:r>
    </w:p>
    <w:p>
      <w:pPr>
        <w:spacing w:after="80" w:line="288"/>
        <w:ind w:left="460" w:hanging="240"/>
        <w:jc w:val="both"/>
      </w:pPr>
      <w:r>
        <w:t xml:space="preserve">—	</w:t>
      </w:r>
      <w:r>
        <w:t xml:space="preserve">Cabe en los planes gratuitos de hospedaje</w:t>
      </w:r>
    </w:p>
    <w:p>
      <w:pPr>
        <w:spacing w:after="80" w:line="288"/>
        <w:ind w:left="460" w:hanging="240"/>
        <w:jc w:val="both"/>
      </w:pPr>
      <w:r>
        <w:t xml:space="preserve">—	</w:t>
      </w:r>
      <w:r>
        <w:t xml:space="preserve">Migración a instancias separadas sin cambios de código</w:t>
      </w:r>
    </w:p>
    <w:p>
      <w:pPr>
        <w:spacing w:after="140" w:line="300"/>
        <w:jc w:val="both"/>
      </w:pPr>
      <w:r>
        <w:rPr>
          <w:b/>
          <w:bCs/>
        </w:rPr>
        <w:t xml:space="preserve">Negativas</w:t>
      </w:r>
    </w:p>
    <w:p>
      <w:pPr>
        <w:spacing w:after="80" w:line="288"/>
        <w:ind w:left="460" w:hanging="240"/>
        <w:jc w:val="both"/>
      </w:pPr>
      <w:r>
        <w:t xml:space="preserve">—	</w:t>
      </w:r>
      <w:r>
        <w:t xml:space="preserve">Sin aislamiento físico: una consulta pesada afecta a todos los servicios</w:t>
      </w:r>
    </w:p>
    <w:p>
      <w:pPr>
        <w:spacing w:after="80" w:line="288"/>
        <w:ind w:left="460" w:hanging="240"/>
        <w:jc w:val="both"/>
      </w:pPr>
      <w:r>
        <w:t xml:space="preserve">—	</w:t>
      </w:r>
      <w:r>
        <w:t xml:space="preserve">La separación depende de la disciplina del equipo, no del motor</w:t>
      </w:r>
    </w:p>
    <w:p>
      <w:pPr>
        <w:spacing w:after="140" w:line="300"/>
        <w:jc w:val="both"/>
      </w:pPr>
      <w:r>
        <w:rPr>
          <w:b/>
          <w:bCs/>
        </w:rPr>
        <w:t xml:space="preserve">Mitigación:</w:t>
      </w:r>
      <w:r>
        <w:t xml:space="preserve"> en producción cada servicio se conecta con un usuario propio de PostgreSQL, con permisos únicamente sobre su esquema. Así la separación pasa a estar impuesta por el motor y no por la buena voluntad del desarrollador. Ver </w:t>
      </w:r>
      <w:r>
        <w:rPr>
          <w:rFonts w:ascii="Consolas" w:cs="Consolas" w:eastAsia="Consolas" w:hAnsi="Consolas"/>
        </w:rPr>
        <w:t xml:space="preserve">infra/migraciones/01-esquemas.sql</w:t>
      </w:r>
      <w:r>
        <w:t xml:space="preserve">.</w:t>
      </w:r>
    </w:p>
    <w:p>
      <w:pPr>
        <w:pStyle w:val="Heading2"/>
        <w:pageBreakBefore/>
        <w:spacing w:after="140" w:before="300"/>
      </w:pPr>
      <w:r>
        <w:rPr>
          <w:b/>
          <w:bCs/>
          <w:color w:val="1F3864"/>
          <w:sz w:val="26"/>
          <w:szCs w:val="26"/>
        </w:rPr>
        <w:t xml:space="preserve">3.3 ADR-003 · Comunicación síncrona y asíncrona</w:t>
      </w:r>
    </w:p>
    <w:p>
      <w:pPr>
        <w:spacing w:after="140" w:line="300"/>
        <w:jc w:val="both"/>
      </w:pPr>
      <w:r>
        <w:rPr>
          <w:b/>
          <w:bCs/>
        </w:rPr>
        <w:t xml:space="preserve">Fecha:</w:t>
      </w:r>
      <w:r>
        <w:t xml:space="preserve"> 2026-08-21 · </w:t>
      </w:r>
      <w:r>
        <w:rPr>
          <w:b/>
          <w:bCs/>
        </w:rPr>
        <w:t xml:space="preserve">Estado:</w:t>
      </w:r>
      <w:r>
        <w:t xml:space="preserve"> aceptada</w:t>
      </w:r>
    </w:p>
    <w:p>
      <w:pPr>
        <w:pStyle w:val="Heading4"/>
        <w:spacing w:after="90" w:before="200"/>
      </w:pPr>
      <w:r>
        <w:rPr>
          <w:b/>
          <w:bCs/>
          <w:color w:val="2E5395"/>
          <w:sz w:val="21"/>
          <w:szCs w:val="21"/>
        </w:rPr>
        <w:t xml:space="preserve">Contexto</w:t>
      </w:r>
    </w:p>
    <w:p>
      <w:pPr>
        <w:spacing w:after="140" w:line="300"/>
        <w:jc w:val="both"/>
      </w:pPr>
      <w:r>
        <w:t xml:space="preserve">Los servicios necesitan intercambiar información. Usar siempre HTTP produce acoplamiento temporal: si un servicio está caído, el que lo llama falla. Usar siempre eventos hace imposible responder consultas inmediatas.</w:t>
      </w:r>
    </w:p>
    <w:p>
      <w:pPr>
        <w:pStyle w:val="Heading4"/>
        <w:spacing w:after="90" w:before="200"/>
      </w:pPr>
      <w:r>
        <w:rPr>
          <w:b/>
          <w:bCs/>
          <w:color w:val="2E5395"/>
          <w:sz w:val="21"/>
          <w:szCs w:val="21"/>
        </w:rPr>
        <w:t xml:space="preserve">Decisión</w:t>
      </w:r>
    </w:p>
    <w:p>
      <w:pPr>
        <w:spacing w:after="140" w:line="300"/>
        <w:jc w:val="both"/>
      </w:pPr>
      <w:r>
        <w:t xml:space="preserve">Una regla única, fácil de aplicar sin tener que deliberar cada vez:</w:t>
      </w:r>
    </w:p>
    <w:p>
      <w:pPr>
        <w:pBdr>
          <w:left w:val="single" w:color="BF9000" w:sz="14" w:space="12"/>
        </w:pBdr>
        <w:shd w:fill="FFF2CC" w:color="auto" w:val="clear"/>
        <w:spacing w:after="160" w:before="160" w:line="300"/>
        <w:ind w:left="300" w:right="300"/>
        <w:jc w:val="both"/>
      </w:pPr>
      <w:r>
        <w:rPr>
          <w:b/>
          <w:bCs/>
          <w:sz w:val="21"/>
          <w:szCs w:val="21"/>
        </w:rPr>
        <w:t xml:space="preserve">Si necesito un dato </w:t>
      </w:r>
      <w:r>
        <w:rPr>
          <w:b/>
          <w:bCs/>
          <w:sz w:val="21"/>
          <w:szCs w:val="21"/>
        </w:rPr>
        <w:t xml:space="preserve">ahora</w:t>
      </w:r>
      <w:r>
        <w:rPr>
          <w:b/>
          <w:bCs/>
          <w:sz w:val="21"/>
          <w:szCs w:val="21"/>
        </w:rPr>
        <w:t xml:space="preserve"> para responderle al usuario → </w:t>
      </w:r>
      <w:r>
        <w:rPr>
          <w:b/>
          <w:bCs/>
          <w:sz w:val="21"/>
          <w:szCs w:val="21"/>
        </w:rPr>
        <w:t xml:space="preserve">HTTP</w:t>
      </w:r>
      <w:r>
        <w:rPr>
          <w:b/>
          <w:bCs/>
          <w:sz w:val="21"/>
          <w:szCs w:val="21"/>
        </w:rPr>
        <w:t xml:space="preserve"> Si algo </w:t>
      </w:r>
      <w:r>
        <w:rPr>
          <w:b/>
          <w:bCs/>
          <w:sz w:val="21"/>
          <w:szCs w:val="21"/>
        </w:rPr>
        <w:t xml:space="preserve">ocurrió</w:t>
      </w:r>
      <w:r>
        <w:rPr>
          <w:b/>
          <w:bCs/>
          <w:sz w:val="21"/>
          <w:szCs w:val="21"/>
        </w:rPr>
        <w:t xml:space="preserve"> y otros deben reaccionar → </w:t>
      </w:r>
      <w:r>
        <w:rPr>
          <w:b/>
          <w:bCs/>
          <w:sz w:val="21"/>
          <w:szCs w:val="21"/>
        </w:rPr>
        <w:t xml:space="preserve">evento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887"/>
        <w:gridCol w:w="2956"/>
        <w:gridCol w:w="5517"/>
      </w:tblGrid>
      <w:tr>
        <w:trPr>
          <w:tblHeader/>
        </w:trPr>
        <w:tc>
          <w:tcPr>
            <w:tcW w:type="dxa" w:w="887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2956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Mecanismo</w:t>
            </w:r>
          </w:p>
        </w:tc>
        <w:tc>
          <w:tcPr>
            <w:tcW w:type="dxa" w:w="5517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Ejemplo</w:t>
            </w:r>
          </w:p>
        </w:tc>
      </w:tr>
      <w:tr>
        <w:trPr>
          <w:tblHeader w:val="false"/>
        </w:trPr>
        <w:tc>
          <w:tcPr>
            <w:tcW w:type="dxa" w:w="88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Síncrona</w:t>
            </w:r>
          </w:p>
        </w:tc>
        <w:tc>
          <w:tcPr>
            <w:tcW w:type="dxa" w:w="295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HTTP/REST a través del gateway</w:t>
            </w:r>
          </w:p>
        </w:tc>
        <w:tc>
          <w:tcPr>
            <w:tcW w:type="dxa" w:w="55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El frontend solicita el panel de gastos</w:t>
            </w:r>
          </w:p>
        </w:tc>
      </w:tr>
      <w:tr>
        <w:trPr>
          <w:tblHeader w:val="false"/>
        </w:trPr>
        <w:tc>
          <w:tcPr>
            <w:tcW w:type="dxa" w:w="88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Asíncrona</w:t>
            </w:r>
          </w:p>
        </w:tc>
        <w:tc>
          <w:tcPr>
            <w:tcW w:type="dxa" w:w="295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Eventos publicados en RabbitMQ</w:t>
            </w:r>
          </w:p>
        </w:tc>
        <w:tc>
          <w:tcPr>
            <w:tcW w:type="dxa" w:w="55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 registró uso, entonces analytics recalcula el puntaje</w:t>
            </w:r>
          </w:p>
        </w:tc>
      </w:tr>
    </w:tbl>
    <w:p>
      <w:pPr>
        <w:spacing w:after="200"/>
      </w:pPr>
    </w:p>
    <w:p>
      <w:pPr>
        <w:pStyle w:val="Heading4"/>
        <w:spacing w:after="90" w:before="200"/>
      </w:pPr>
      <w:r>
        <w:rPr>
          <w:b/>
          <w:bCs/>
          <w:color w:val="2E5395"/>
          <w:sz w:val="21"/>
          <w:szCs w:val="21"/>
        </w:rPr>
        <w:t xml:space="preserve">Justificación</w:t>
      </w:r>
    </w:p>
    <w:p>
      <w:pPr>
        <w:spacing w:after="140" w:line="300"/>
        <w:jc w:val="both"/>
      </w:pPr>
      <w:r>
        <w:t xml:space="preserve">Todo lo que ocurre después de una acción del usuario — recalcular recomendaciones, enviar alertas, sincronizar conectores — es asíncrono por naturaleza. No existe razón para que el usuario espere a que termine.</w:t>
      </w:r>
    </w:p>
    <w:p>
      <w:pPr>
        <w:spacing w:after="140" w:line="300"/>
        <w:jc w:val="both"/>
      </w:pPr>
      <w:r>
        <w:t xml:space="preserve">Las consultas que alimentan una pantalla sí deben ser síncronas: el usuario está esperando la respuesta en ese momento.</w:t>
      </w:r>
    </w:p>
    <w:p>
      <w:pPr>
        <w:pStyle w:val="Heading4"/>
        <w:spacing w:after="90" w:before="200"/>
      </w:pPr>
      <w:r>
        <w:rPr>
          <w:b/>
          <w:bCs/>
          <w:color w:val="2E5395"/>
          <w:sz w:val="21"/>
          <w:szCs w:val="21"/>
        </w:rPr>
        <w:t xml:space="preserve">Consecuencias</w:t>
      </w:r>
    </w:p>
    <w:p>
      <w:pPr>
        <w:spacing w:after="80" w:line="288"/>
        <w:ind w:left="460" w:hanging="240"/>
        <w:jc w:val="both"/>
      </w:pPr>
      <w:r>
        <w:t xml:space="preserve">—	</w:t>
      </w:r>
      <w:r>
        <w:t xml:space="preserve">Los eventos desacoplan: </w:t>
      </w:r>
      <w:r>
        <w:rPr>
          <w:rFonts w:ascii="Consolas" w:cs="Consolas" w:eastAsia="Consolas" w:hAnsi="Consolas"/>
        </w:rPr>
        <w:t xml:space="preserve">analytics</w:t>
      </w:r>
      <w:r>
        <w:t xml:space="preserve"> puede estar caído y los eventos quedan encolados hasta que vuelva a estar disponible</w:t>
      </w:r>
    </w:p>
    <w:p>
      <w:pPr>
        <w:spacing w:after="80" w:line="288"/>
        <w:ind w:left="460" w:hanging="240"/>
        <w:jc w:val="both"/>
      </w:pPr>
      <w:r>
        <w:t xml:space="preserve">—	</w:t>
      </w:r>
      <w:r>
        <w:t xml:space="preserve">Consistencia eventual entre servicios, aceptable en este dominio</w:t>
      </w:r>
    </w:p>
    <w:p>
      <w:pPr>
        <w:spacing w:after="80" w:line="288"/>
        <w:ind w:left="460" w:hanging="240"/>
        <w:jc w:val="both"/>
      </w:pPr>
      <w:r>
        <w:t xml:space="preserve">—	</w:t>
      </w:r>
      <w:r>
        <w:t xml:space="preserve">Los consumidores deben ser </w:t>
      </w:r>
      <w:r>
        <w:rPr>
          <w:b/>
          <w:bCs/>
        </w:rPr>
        <w:t xml:space="preserve">idempotentes</w:t>
      </w:r>
      <w:r>
        <w:t xml:space="preserve">: un evento puede llegar dos veces y el resultado debe ser el mismo</w:t>
      </w:r>
    </w:p>
    <w:p>
      <w:pPr>
        <w:spacing w:after="80" w:line="288"/>
        <w:ind w:left="460" w:hanging="240"/>
        <w:jc w:val="both"/>
      </w:pPr>
      <w:r>
        <w:t xml:space="preserve">—	</w:t>
      </w:r>
      <w:r>
        <w:t xml:space="preserve">Cada petición y cada evento lleva un </w:t>
      </w:r>
      <w:r>
        <w:rPr>
          <w:rFonts w:ascii="Consolas" w:cs="Consolas" w:eastAsia="Consolas" w:hAnsi="Consolas"/>
        </w:rPr>
        <w:t xml:space="preserve">X-Correlation-ID</w:t>
      </w:r>
      <w:r>
        <w:t xml:space="preserve">, que permite seguir una operación completa a través de los registros de varios servicios</w:t>
      </w:r>
    </w:p>
    <w:p>
      <w:pPr>
        <w:spacing w:after="140" w:line="300"/>
        <w:jc w:val="both"/>
      </w:pPr>
      <w:r>
        <w:t xml:space="preserve">El catálogo de eventos está en </w:t>
      </w:r>
      <w:r>
        <w:rPr>
          <w:rFonts w:ascii="Consolas" w:cs="Consolas" w:eastAsia="Consolas" w:hAnsi="Consolas"/>
        </w:rPr>
        <w:t xml:space="preserve">shared/events/catalogo.md</w:t>
      </w:r>
      <w:r>
        <w:t xml:space="preserve">.</w:t>
      </w:r>
    </w:p>
    <w:p>
      <w:pPr>
        <w:pStyle w:val="Heading2"/>
        <w:pageBreakBefore/>
        <w:spacing w:after="140" w:before="300"/>
      </w:pPr>
      <w:r>
        <w:rPr>
          <w:b/>
          <w:bCs/>
          <w:color w:val="1F3864"/>
          <w:sz w:val="26"/>
          <w:szCs w:val="26"/>
        </w:rPr>
        <w:t xml:space="preserve">3.4 ADR-004 · Autenticación y propagación del contexto multi-tenant</w:t>
      </w:r>
    </w:p>
    <w:p>
      <w:pPr>
        <w:spacing w:after="140" w:line="300"/>
        <w:jc w:val="both"/>
      </w:pPr>
      <w:r>
        <w:rPr>
          <w:b/>
          <w:bCs/>
        </w:rPr>
        <w:t xml:space="preserve">Fecha:</w:t>
      </w:r>
      <w:r>
        <w:t xml:space="preserve"> 2026-08-21 · </w:t>
      </w:r>
      <w:r>
        <w:rPr>
          <w:b/>
          <w:bCs/>
        </w:rPr>
        <w:t xml:space="preserve">Estado:</w:t>
      </w:r>
      <w:r>
        <w:t xml:space="preserve"> aceptada</w:t>
      </w:r>
    </w:p>
    <w:p>
      <w:pPr>
        <w:pStyle w:val="Heading4"/>
        <w:spacing w:after="90" w:before="200"/>
      </w:pPr>
      <w:r>
        <w:rPr>
          <w:b/>
          <w:bCs/>
          <w:color w:val="2E5395"/>
          <w:sz w:val="21"/>
          <w:szCs w:val="21"/>
        </w:rPr>
        <w:t xml:space="preserve">Contexto</w:t>
      </w:r>
    </w:p>
    <w:p>
      <w:pPr>
        <w:spacing w:after="140" w:line="300"/>
        <w:jc w:val="both"/>
      </w:pPr>
      <w:r>
        <w:t xml:space="preserve">Con seis componentes, validar el token en cada uno significa que todos dependen del servicio de autenticación en cada petición, y que la lógica de validación queda replicada seis veces.</w:t>
      </w:r>
    </w:p>
    <w:p>
      <w:pPr>
        <w:spacing w:after="140" w:line="300"/>
        <w:jc w:val="both"/>
      </w:pPr>
      <w:r>
        <w:t xml:space="preserve">Además, el sistema es multi-tenant: </w:t>
      </w:r>
      <w:r>
        <w:rPr>
          <w:b/>
          <w:bCs/>
        </w:rPr>
        <w:t xml:space="preserve">cada servicio debe saber a qué organización pertenece la petición que está atendiendo</w:t>
      </w:r>
      <w:r>
        <w:t xml:space="preserve">.</w:t>
      </w:r>
    </w:p>
    <w:p>
      <w:pPr>
        <w:pStyle w:val="Heading4"/>
        <w:spacing w:after="90" w:before="200"/>
      </w:pPr>
      <w:r>
        <w:rPr>
          <w:b/>
          <w:bCs/>
          <w:color w:val="2E5395"/>
          <w:sz w:val="21"/>
          <w:szCs w:val="21"/>
        </w:rPr>
        <w:t xml:space="preserve">Decisión</w:t>
      </w:r>
    </w:p>
    <w:p>
      <w:pPr>
        <w:spacing w:after="90" w:line="288"/>
        <w:ind w:left="520" w:hanging="340"/>
        <w:jc w:val="both"/>
      </w:pPr>
      <w:r>
        <w:rPr>
          <w:b/>
          <w:bCs/>
        </w:rPr>
        <w:t xml:space="preserve">1.	</w:t>
      </w:r>
      <w:r>
        <w:rPr>
          <w:rFonts w:ascii="Consolas" w:cs="Consolas" w:eastAsia="Consolas" w:hAnsi="Consolas"/>
        </w:rPr>
        <w:t xml:space="preserve">auth</w:t>
      </w:r>
      <w:r>
        <w:t xml:space="preserve"> </w:t>
      </w:r>
      <w:r>
        <w:rPr>
          <w:b/>
          <w:bCs/>
        </w:rPr>
        <w:t xml:space="preserve">emite</w:t>
      </w:r>
      <w:r>
        <w:t xml:space="preserve"> los tokens JWT firmados, con </w:t>
      </w:r>
      <w:r>
        <w:rPr>
          <w:rFonts w:ascii="Consolas" w:cs="Consolas" w:eastAsia="Consolas" w:hAnsi="Consolas"/>
        </w:rPr>
        <w:t xml:space="preserve">usuario_id</w:t>
      </w:r>
      <w:r>
        <w:t xml:space="preserve">, </w:t>
      </w:r>
      <w:r>
        <w:rPr>
          <w:rFonts w:ascii="Consolas" w:cs="Consolas" w:eastAsia="Consolas" w:hAnsi="Consolas"/>
        </w:rPr>
        <w:t xml:space="preserve">organizacion_id</w:t>
      </w:r>
      <w:r>
        <w:t xml:space="preserve"> y </w:t>
      </w:r>
      <w:r>
        <w:rPr>
          <w:rFonts w:ascii="Consolas" w:cs="Consolas" w:eastAsia="Consolas" w:hAnsi="Consolas"/>
        </w:rPr>
        <w:t xml:space="preserve">rol</w:t>
      </w:r>
      <w:r>
        <w:t xml:space="preserve"> en su contenido.</w:t>
      </w:r>
    </w:p>
    <w:p>
      <w:pPr>
        <w:spacing w:after="90" w:line="288"/>
        <w:ind w:left="520" w:hanging="340"/>
        <w:jc w:val="both"/>
      </w:pPr>
      <w:r>
        <w:rPr>
          <w:b/>
          <w:bCs/>
        </w:rPr>
        <w:t xml:space="preserve">2.	</w:t>
      </w:r>
      <w:r>
        <w:t xml:space="preserve">El </w:t>
      </w:r>
      <w:r>
        <w:rPr>
          <w:b/>
          <w:bCs/>
        </w:rPr>
        <w:t xml:space="preserve">gateway valida la firma una sola vez</w:t>
      </w:r>
      <w:r>
        <w:t xml:space="preserve"> por petición.</w:t>
      </w:r>
    </w:p>
    <w:p>
      <w:pPr>
        <w:spacing w:after="90" w:line="288"/>
        <w:ind w:left="520" w:hanging="340"/>
        <w:jc w:val="both"/>
      </w:pPr>
      <w:r>
        <w:rPr>
          <w:b/>
          <w:bCs/>
        </w:rPr>
        <w:t xml:space="preserve">3.	</w:t>
      </w:r>
      <w:r>
        <w:t xml:space="preserve">El gateway propaga la identidad a los servicios internos mediante cabeceras:</w:t>
      </w:r>
    </w:p>
    <w:p>
      <w:pPr>
        <w:spacing w:after="140" w:line="300"/>
        <w:jc w:val="both"/>
      </w:pPr>
      <w:r>
        <w:t xml:space="preserve">``</w:t>
      </w:r>
      <w:r>
        <w:rPr>
          <w:rFonts w:ascii="Consolas" w:cs="Consolas" w:eastAsia="Consolas" w:hAnsi="Consolas"/>
        </w:rPr>
        <w:t xml:space="preserve"> X-Usuario-Id:      7f3a1b... X-Organizacion-Id: 9c2140... X-Rol:             admin X-Correlation-ID:  4b8e77... </w:t>
      </w:r>
      <w:r>
        <w:t xml:space="preserve">``</w:t>
      </w:r>
    </w:p>
    <w:p>
      <w:pPr>
        <w:spacing w:after="90" w:line="288"/>
        <w:ind w:left="520" w:hanging="340"/>
        <w:jc w:val="both"/>
      </w:pPr>
      <w:r>
        <w:rPr>
          <w:b/>
          <w:bCs/>
        </w:rPr>
        <w:t xml:space="preserve">1.	</w:t>
      </w:r>
      <w:r>
        <w:t xml:space="preserve">Los servicios internos </w:t>
      </w:r>
      <w:r>
        <w:rPr>
          <w:b/>
          <w:bCs/>
        </w:rPr>
        <w:t xml:space="preserve">confían en esas cabeceras</w:t>
      </w:r>
      <w:r>
        <w:t xml:space="preserve"> y no vuelven a validar.</w:t>
      </w:r>
    </w:p>
    <w:p>
      <w:pPr>
        <w:spacing w:after="90" w:line="288"/>
        <w:ind w:left="520" w:hanging="340"/>
        <w:jc w:val="both"/>
      </w:pPr>
      <w:r>
        <w:rPr>
          <w:b/>
          <w:bCs/>
        </w:rPr>
        <w:t xml:space="preserve">2.	</w:t>
      </w:r>
      <w:r>
        <w:t xml:space="preserve">Cada servicio </w:t>
      </w:r>
      <w:r>
        <w:rPr>
          <w:b/>
          <w:bCs/>
        </w:rPr>
        <w:t xml:space="preserve">filtra obligatoriamente</w:t>
      </w:r>
      <w:r>
        <w:t xml:space="preserve"> por </w:t>
      </w:r>
      <w:r>
        <w:rPr>
          <w:rFonts w:ascii="Consolas" w:cs="Consolas" w:eastAsia="Consolas" w:hAnsi="Consolas"/>
        </w:rPr>
        <w:t xml:space="preserve">X-Organizacion-Id</w:t>
      </w:r>
      <w:r>
        <w:t xml:space="preserve">.</w:t>
      </w:r>
    </w:p>
    <w:p>
      <w:pPr>
        <w:pStyle w:val="Heading4"/>
        <w:spacing w:after="90" w:before="200"/>
      </w:pPr>
      <w:r>
        <w:rPr>
          <w:b/>
          <w:bCs/>
          <w:color w:val="2E5395"/>
          <w:sz w:val="21"/>
          <w:szCs w:val="21"/>
        </w:rPr>
        <w:t xml:space="preserve">Justificación</w:t>
      </w:r>
    </w:p>
    <w:p>
      <w:pPr>
        <w:spacing w:after="80" w:line="288"/>
        <w:ind w:left="460" w:hanging="240"/>
        <w:jc w:val="both"/>
      </w:pPr>
      <w:r>
        <w:t xml:space="preserve">—	</w:t>
      </w:r>
      <w:r>
        <w:t xml:space="preserve">Un solo lugar valida firmas, y por lo tanto un solo lugar donde equivocarse</w:t>
      </w:r>
    </w:p>
    <w:p>
      <w:pPr>
        <w:spacing w:after="80" w:line="288"/>
        <w:ind w:left="460" w:hanging="240"/>
        <w:jc w:val="both"/>
      </w:pPr>
      <w:r>
        <w:t xml:space="preserve">—	</w:t>
      </w:r>
      <w:r>
        <w:t xml:space="preserve">Los servicios internos no dependen de </w:t>
      </w:r>
      <w:r>
        <w:rPr>
          <w:rFonts w:ascii="Consolas" w:cs="Consolas" w:eastAsia="Consolas" w:hAnsi="Consolas"/>
        </w:rPr>
        <w:t xml:space="preserve">auth</w:t>
      </w:r>
      <w:r>
        <w:t xml:space="preserve"> en cada petición</w:t>
      </w:r>
    </w:p>
    <w:p>
      <w:pPr>
        <w:spacing w:after="80" w:line="288"/>
        <w:ind w:left="460" w:hanging="240"/>
        <w:jc w:val="both"/>
      </w:pPr>
      <w:r>
        <w:t xml:space="preserve">—	</w:t>
      </w:r>
      <w:r>
        <w:t xml:space="preserve">El contexto de organización viaja de forma uniforme y explícita por todo el sistema, incluidos los eventos</w:t>
      </w:r>
    </w:p>
    <w:p>
      <w:pPr>
        <w:pStyle w:val="Heading4"/>
        <w:spacing w:after="90" w:before="200"/>
      </w:pPr>
      <w:r>
        <w:rPr>
          <w:b/>
          <w:bCs/>
          <w:color w:val="2E5395"/>
          <w:sz w:val="21"/>
          <w:szCs w:val="21"/>
        </w:rPr>
        <w:t xml:space="preserve">Consecuencias</w:t>
      </w:r>
    </w:p>
    <w:p>
      <w:pPr>
        <w:pBdr>
          <w:left w:val="single" w:color="1F3864" w:sz="12" w:space="10"/>
        </w:pBdr>
        <w:spacing w:after="160" w:before="130" w:line="276"/>
        <w:ind w:left="340"/>
        <w:jc w:val="both"/>
      </w:pPr>
      <w:r>
        <w:rPr>
          <w:sz w:val="20"/>
          <w:szCs w:val="20"/>
        </w:rPr>
        <w:t xml:space="preserve">⚠️ </w:t>
      </w:r>
      <w:r>
        <w:rPr>
          <w:b/>
          <w:bCs/>
          <w:sz w:val="20"/>
          <w:szCs w:val="20"/>
        </w:rPr>
        <w:t xml:space="preserve">Riesgo crítico.</w:t>
      </w:r>
      <w:r>
        <w:rPr>
          <w:sz w:val="20"/>
          <w:szCs w:val="20"/>
        </w:rPr>
        <w:t xml:space="preserve"> Si un servicio interno queda expuesto a internet, cualquiera puede enviar la cabecera </w:t>
      </w:r>
      <w:r>
        <w:rPr>
          <w:rFonts w:ascii="Consolas" w:cs="Consolas" w:eastAsia="Consolas" w:hAnsi="Consolas"/>
          <w:sz w:val="20"/>
          <w:szCs w:val="20"/>
        </w:rPr>
        <w:t xml:space="preserve">X-Organizacion-Id</w:t>
      </w:r>
      <w:r>
        <w:rPr>
          <w:sz w:val="20"/>
          <w:szCs w:val="20"/>
        </w:rPr>
        <w:t xml:space="preserve"> que quiera y leer los datos de cualquier cliente.</w:t>
      </w:r>
    </w:p>
    <w:p>
      <w:pPr>
        <w:spacing w:after="140" w:line="300"/>
        <w:jc w:val="both"/>
      </w:pPr>
      <w:r>
        <w:rPr>
          <w:b/>
          <w:bCs/>
        </w:rPr>
        <w:t xml:space="preserve">Mitigaciones obligatorias:</w:t>
      </w:r>
    </w:p>
    <w:p>
      <w:pPr>
        <w:spacing w:after="90" w:line="288"/>
        <w:ind w:left="520" w:hanging="340"/>
        <w:jc w:val="both"/>
      </w:pPr>
      <w:r>
        <w:rPr>
          <w:b/>
          <w:bCs/>
        </w:rPr>
        <w:t xml:space="preserve">1.	</w:t>
      </w:r>
      <w:r>
        <w:t xml:space="preserve">Los servicios internos </w:t>
      </w:r>
      <w:r>
        <w:rPr>
          <w:b/>
          <w:bCs/>
        </w:rPr>
        <w:t xml:space="preserve">nunca</w:t>
      </w:r>
      <w:r>
        <w:t xml:space="preserve"> se publican fuera de la red interna. Solo el gateway expone puertos al exterior.</w:t>
      </w:r>
    </w:p>
    <w:p>
      <w:pPr>
        <w:spacing w:after="90" w:line="288"/>
        <w:ind w:left="520" w:hanging="340"/>
        <w:jc w:val="both"/>
      </w:pPr>
      <w:r>
        <w:rPr>
          <w:b/>
          <w:bCs/>
        </w:rPr>
        <w:t xml:space="preserve">2.	</w:t>
      </w:r>
      <w:r>
        <w:t xml:space="preserve">En producción, los servicios aceptan tráfico únicamente desde el gateway.</w:t>
      </w:r>
    </w:p>
    <w:p>
      <w:pPr>
        <w:spacing w:after="90" w:line="288"/>
        <w:ind w:left="520" w:hanging="340"/>
        <w:jc w:val="both"/>
      </w:pPr>
      <w:r>
        <w:rPr>
          <w:b/>
          <w:bCs/>
        </w:rPr>
        <w:t xml:space="preserve">3.	</w:t>
      </w:r>
      <w:r>
        <w:t xml:space="preserve">Las cabeceras de identidad que lleguen desde el exterior son </w:t>
      </w:r>
      <w:r>
        <w:rPr>
          <w:b/>
          <w:bCs/>
        </w:rPr>
        <w:t xml:space="preserve">descartadas por el gateway</w:t>
      </w:r>
      <w:r>
        <w:t xml:space="preserve"> antes de reenviar la petición. Un cliente no puede inyectar su propia </w:t>
      </w:r>
      <w:r>
        <w:rPr>
          <w:rFonts w:ascii="Consolas" w:cs="Consolas" w:eastAsia="Consolas" w:hAnsi="Consolas"/>
        </w:rPr>
        <w:t xml:space="preserve">X-Organizacion-Id</w:t>
      </w:r>
      <w:r>
        <w:t xml:space="preserve">.</w:t>
      </w:r>
    </w:p>
    <w:p>
      <w:pPr>
        <w:spacing w:after="140" w:line="300"/>
        <w:jc w:val="both"/>
      </w:pPr>
      <w:r>
        <w:t xml:space="preserve">El punto 3 es el que hace que el esquema sea seguro, y </w:t>
      </w:r>
      <w:r>
        <w:rPr>
          <w:b/>
          <w:bCs/>
        </w:rPr>
        <w:t xml:space="preserve">hay que poder explicarlo en la defensa</w:t>
      </w:r>
      <w:r>
        <w:t xml:space="preserve">: sin él, el diseño completo se cae.</w:t>
      </w:r>
    </w:p>
    <w:p>
      <w:pPr>
        <w:spacing w:after="140" w:line="300"/>
        <w:jc w:val="both"/>
      </w:pPr>
      <w:r>
        <w:t xml:space="preserve">La clase base que aplica el filtro en cada servicio está en </w:t>
      </w:r>
      <w:r>
        <w:rPr>
          <w:rFonts w:ascii="Consolas" w:cs="Consolas" w:eastAsia="Consolas" w:hAnsi="Consolas"/>
        </w:rPr>
        <w:t xml:space="preserve">shared/tenant/</w:t>
      </w:r>
      <w:r>
        <w:t xml:space="preserve">.</w:t>
      </w:r>
    </w:p>
    <w:p>
      <w:pPr>
        <w:pStyle w:val="Heading4"/>
        <w:spacing w:after="90" w:before="200"/>
      </w:pPr>
      <w:r>
        <w:rPr>
          <w:b/>
          <w:bCs/>
          <w:color w:val="2E5395"/>
          <w:sz w:val="21"/>
          <w:szCs w:val="21"/>
        </w:rPr>
        <w:t xml:space="preserve">Nota sobre los puertos en desarrollo</w:t>
      </w:r>
    </w:p>
    <w:p>
      <w:pPr>
        <w:spacing w:after="140" w:line="300"/>
        <w:jc w:val="both"/>
      </w:pPr>
      <w:r>
        <w:t xml:space="preserve">El archivo </w:t>
      </w:r>
      <w:r>
        <w:rPr>
          <w:rFonts w:ascii="Consolas" w:cs="Consolas" w:eastAsia="Consolas" w:hAnsi="Consolas"/>
        </w:rPr>
        <w:t xml:space="preserve">docker-compose.yml</w:t>
      </w:r>
      <w:r>
        <w:t xml:space="preserve"> publica los puertos 8001 a 8005 para facilitar el trabajo y las pruebas. </w:t>
      </w:r>
      <w:r>
        <w:rPr>
          <w:b/>
          <w:bCs/>
        </w:rPr>
        <w:t xml:space="preserve">Esa configuración es exclusiva de desarrollo local.</w:t>
      </w:r>
      <w:r>
        <w:t xml:space="preserve"> En el despliegue, esos puertos no se publican.</w:t>
      </w:r>
    </w:p>
    <w:p>
      <w:pPr>
        <w:pStyle w:val="Heading2"/>
        <w:pageBreakBefore/>
        <w:spacing w:after="140" w:before="300"/>
      </w:pPr>
      <w:r>
        <w:rPr>
          <w:b/>
          <w:bCs/>
          <w:color w:val="1F3864"/>
          <w:sz w:val="26"/>
          <w:szCs w:val="26"/>
        </w:rPr>
        <w:t xml:space="preserve">3.5 ADR-005 · Origen de los datos de cobros</w:t>
      </w:r>
    </w:p>
    <w:p>
      <w:pPr>
        <w:spacing w:after="140" w:line="300"/>
        <w:jc w:val="both"/>
      </w:pPr>
      <w:r>
        <w:rPr>
          <w:b/>
          <w:bCs/>
        </w:rPr>
        <w:t xml:space="preserve">Fecha:</w:t>
      </w:r>
      <w:r>
        <w:t xml:space="preserve"> 2026-08-26 · </w:t>
      </w:r>
      <w:r>
        <w:rPr>
          <w:b/>
          <w:bCs/>
        </w:rPr>
        <w:t xml:space="preserve">Estado:</w:t>
      </w:r>
      <w:r>
        <w:t xml:space="preserve"> aceptada </w:t>
      </w:r>
      <w:r>
        <w:rPr>
          <w:b/>
          <w:bCs/>
        </w:rPr>
        <w:t xml:space="preserve">Investigación:</w:t>
      </w:r>
      <w:r>
        <w:t xml:space="preserve"> ámbito financiero — acceso a datos de cobros en Chile</w:t>
      </w:r>
    </w:p>
    <w:p>
      <w:pPr>
        <w:pStyle w:val="Heading4"/>
        <w:spacing w:after="90" w:before="200"/>
      </w:pPr>
      <w:r>
        <w:rPr>
          <w:b/>
          <w:bCs/>
          <w:color w:val="2E5395"/>
          <w:sz w:val="21"/>
          <w:szCs w:val="21"/>
        </w:rPr>
        <w:t xml:space="preserve">Contexto</w:t>
      </w:r>
    </w:p>
    <w:p>
      <w:pPr>
        <w:spacing w:after="140" w:line="300"/>
        <w:jc w:val="both"/>
      </w:pPr>
      <w:r>
        <w:t xml:space="preserve">La funcionalidad más demandada en la encuesta fue </w:t>
      </w:r>
      <w:r>
        <w:rPr>
          <w:b/>
          <w:bCs/>
        </w:rPr>
        <w:t xml:space="preserve">«que me avise antes de cada cobro» (76,3%, n = 38)</w:t>
      </w:r>
      <w:r>
        <w:t xml:space="preserve">, seguida por </w:t>
      </w:r>
      <w:r>
        <w:rPr>
          <w:b/>
          <w:bCs/>
        </w:rPr>
        <w:t xml:space="preserve">«que me avise antes de que termine una prueba gratuita» (60,5%)</w:t>
      </w:r>
      <w:r>
        <w:t xml:space="preserve">. Ambas exigen que el sistema conozca </w:t>
      </w:r>
      <w:r>
        <w:rPr>
          <w:b/>
          <w:bCs/>
        </w:rPr>
        <w:t xml:space="preserve">cuándo se va a cobrar</w:t>
      </w:r>
      <w:r>
        <w:t xml:space="preserve">.</w:t>
      </w:r>
    </w:p>
    <w:p>
      <w:pPr>
        <w:spacing w:after="140" w:line="300"/>
        <w:jc w:val="both"/>
      </w:pPr>
      <w:r>
        <w:t xml:space="preserve">Eso convierte el origen de los datos de cobro en una decisión de arquitectura, no en un detalle de implementación: </w:t>
      </w:r>
      <w:r>
        <w:rPr>
          <w:b/>
          <w:bCs/>
        </w:rPr>
        <w:t xml:space="preserve">sin fuente de cobros no hay producto</w:t>
      </w:r>
      <w:r>
        <w:t xml:space="preserve">.</w:t>
      </w:r>
    </w:p>
    <w:p>
      <w:pPr>
        <w:spacing w:after="140" w:line="300"/>
        <w:jc w:val="both"/>
      </w:pPr>
      <w:r>
        <w:t xml:space="preserve">Se evaluaron cuatro vías.</w:t>
      </w:r>
    </w:p>
    <w:p>
      <w:pPr>
        <w:pStyle w:val="Heading4"/>
        <w:spacing w:after="90" w:before="200"/>
      </w:pPr>
      <w:r>
        <w:rPr>
          <w:b/>
          <w:bCs/>
          <w:color w:val="2E5395"/>
          <w:sz w:val="21"/>
          <w:szCs w:val="21"/>
        </w:rPr>
        <w:t xml:space="preserve">1. Las cuatro vías comparadas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179"/>
        <w:gridCol w:w="880"/>
        <w:gridCol w:w="880"/>
        <w:gridCol w:w="1777"/>
        <w:gridCol w:w="2269"/>
        <w:gridCol w:w="1375"/>
      </w:tblGrid>
      <w:tr>
        <w:trPr>
          <w:tblHeader/>
        </w:trPr>
        <w:tc>
          <w:tcPr>
            <w:tcW w:type="dxa" w:w="2179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Vía</w:t>
            </w:r>
          </w:p>
        </w:tc>
        <w:tc>
          <w:tcPr>
            <w:tcW w:type="dxa" w:w="880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Costo</w:t>
            </w:r>
          </w:p>
        </w:tc>
        <w:tc>
          <w:tcPr>
            <w:tcW w:type="dxa" w:w="880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Esfuerzo</w:t>
            </w:r>
          </w:p>
        </w:tc>
        <w:tc>
          <w:tcPr>
            <w:tcW w:type="dxa" w:w="1777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Riesgo legal</w:t>
            </w:r>
          </w:p>
        </w:tc>
        <w:tc>
          <w:tcPr>
            <w:tcW w:type="dxa" w:w="2269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Cobertura</w:t>
            </w:r>
          </w:p>
        </w:tc>
        <w:tc>
          <w:tcPr>
            <w:tcW w:type="dxa" w:w="1375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Disponible en el semestre</w:t>
            </w:r>
          </w:p>
        </w:tc>
      </w:tr>
      <w:tr>
        <w:trPr>
          <w:tblHeader w:val="false"/>
        </w:trPr>
        <w:tc>
          <w:tcPr>
            <w:tcW w:type="dxa" w:w="217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Entrada manual + CSV</w:t>
            </w:r>
          </w:p>
        </w:tc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$0</w:t>
            </w:r>
          </w:p>
        </w:tc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Bajo</w:t>
            </w:r>
          </w:p>
        </w:tc>
        <w:tc>
          <w:tcPr>
            <w:tcW w:type="dxa" w:w="17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Ninguno</w:t>
            </w:r>
          </w:p>
        </w:tc>
        <w:tc>
          <w:tcPr>
            <w:tcW w:type="dxa" w:w="226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Total, pero depende de la constancia del usuario</w:t>
            </w:r>
          </w:p>
        </w:tc>
        <w:tc>
          <w:tcPr>
            <w:tcW w:type="dxa" w:w="13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✅ Sí</w:t>
            </w:r>
          </w:p>
        </w:tc>
      </w:tr>
      <w:tr>
        <w:trPr>
          <w:tblHeader w:val="false"/>
        </w:trPr>
        <w:tc>
          <w:tcPr>
            <w:tcW w:type="dxa" w:w="217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Lectura de correo</w:t>
            </w:r>
          </w:p>
        </w:tc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$0</w:t>
            </w:r>
          </w:p>
        </w:tc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Medio-alto</w:t>
            </w:r>
          </w:p>
        </w:tc>
        <w:tc>
          <w:tcPr>
            <w:tcW w:type="dxa" w:w="17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Medio — alcance restringido de Google</w:t>
            </w:r>
          </w:p>
        </w:tc>
        <w:tc>
          <w:tcPr>
            <w:tcW w:type="dxa" w:w="226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Parcial: solo servicios que envían comprobante</w:t>
            </w:r>
          </w:p>
        </w:tc>
        <w:tc>
          <w:tcPr>
            <w:tcW w:type="dxa" w:w="13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✅ Sí, con límites</w:t>
            </w:r>
          </w:p>
        </w:tc>
      </w:tr>
      <w:tr>
        <w:trPr>
          <w:tblHeader w:val="false"/>
        </w:trPr>
        <w:tc>
          <w:tcPr>
            <w:tcW w:type="dxa" w:w="217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Agregación bancaria</w:t>
            </w:r>
            <w:r>
              <w:rPr>
                <w:b w:val="false"/>
                <w:bCs w:val="false"/>
                <w:sz w:val="19"/>
                <w:szCs w:val="19"/>
              </w:rPr>
              <w:t xml:space="preserve"> (Fintoc, Belvo)</w:t>
            </w:r>
          </w:p>
        </w:tc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Alto</w:t>
            </w:r>
          </w:p>
        </w:tc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Medio</w:t>
            </w:r>
          </w:p>
        </w:tc>
        <w:tc>
          <w:tcPr>
            <w:tcW w:type="dxa" w:w="17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Alto — datos financieros de terceros</w:t>
            </w:r>
          </w:p>
        </w:tc>
        <w:tc>
          <w:tcPr>
            <w:tcW w:type="dxa" w:w="226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3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⚠️ Solo en entorno de prueba</w:t>
            </w:r>
          </w:p>
        </w:tc>
      </w:tr>
      <w:tr>
        <w:trPr>
          <w:tblHeader w:val="false"/>
        </w:trPr>
        <w:tc>
          <w:tcPr>
            <w:tcW w:type="dxa" w:w="217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Sistema de Finanzas Abiertas</w:t>
            </w:r>
            <w:r>
              <w:rPr>
                <w:b w:val="false"/>
                <w:bCs w:val="false"/>
                <w:sz w:val="19"/>
                <w:szCs w:val="19"/>
              </w:rPr>
              <w:t xml:space="preserve"> (Ley Fintech)</w:t>
            </w:r>
          </w:p>
        </w:tc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Por definir</w:t>
            </w:r>
          </w:p>
        </w:tc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Regulado</w:t>
            </w:r>
          </w:p>
        </w:tc>
        <w:tc>
          <w:tcPr>
            <w:tcW w:type="dxa" w:w="226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3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❌ No</w:t>
            </w:r>
          </w:p>
        </w:tc>
      </w:tr>
    </w:tbl>
    <w:p>
      <w:pPr>
        <w:spacing w:after="200"/>
      </w:pPr>
    </w:p>
    <w:p>
      <w:pPr>
        <w:pStyle w:val="Heading4"/>
        <w:spacing w:after="90" w:before="200"/>
      </w:pPr>
      <w:r>
        <w:rPr>
          <w:b/>
          <w:bCs/>
          <w:color w:val="2E5395"/>
          <w:sz w:val="21"/>
          <w:szCs w:val="21"/>
        </w:rPr>
        <w:t xml:space="preserve">1.1 Entrada manual e importación CSV</w:t>
      </w:r>
    </w:p>
    <w:p>
      <w:pPr>
        <w:spacing w:after="140" w:line="300"/>
        <w:jc w:val="both"/>
      </w:pPr>
      <w:r>
        <w:t xml:space="preserve">Sin costo, sin dependencias externas y sin exposición regulatoria. Su debilidad es conocida: exige que el usuario mantenga la información al día.</w:t>
      </w:r>
    </w:p>
    <w:p>
      <w:pPr>
        <w:spacing w:after="140" w:line="300"/>
        <w:jc w:val="both"/>
      </w:pPr>
      <w:r>
        <w:rPr>
          <w:b/>
          <w:bCs/>
        </w:rPr>
        <w:t xml:space="preserve">Es el piso obligatorio del sistema.</w:t>
      </w:r>
      <w:r>
        <w:t xml:space="preserve"> Toda otra vía puede fallar —una API externa se cae, un conector se desautoriza— y la aplicación debe seguir siendo utilizable. Ninguna funcionalidad debe depender exclusivamente de un conector.</w:t>
      </w:r>
    </w:p>
    <w:p>
      <w:pPr>
        <w:pStyle w:val="Heading4"/>
        <w:spacing w:after="90" w:before="200"/>
      </w:pPr>
      <w:r>
        <w:rPr>
          <w:b/>
          <w:bCs/>
          <w:color w:val="2E5395"/>
          <w:sz w:val="21"/>
          <w:szCs w:val="21"/>
        </w:rPr>
        <w:t xml:space="preserve">1.2 Lectura de correo</w:t>
      </w:r>
    </w:p>
    <w:p>
      <w:pPr>
        <w:spacing w:after="140" w:line="300"/>
        <w:jc w:val="both"/>
      </w:pPr>
      <w:r>
        <w:t xml:space="preserve">Se aborda en detalle en la tarea «Script de lectura de correos». Dos restricciones relevantes para esta decisión:</w:t>
      </w:r>
    </w:p>
    <w:p>
      <w:pPr>
        <w:spacing w:after="80" w:line="288"/>
        <w:ind w:left="460" w:hanging="240"/>
        <w:jc w:val="both"/>
      </w:pPr>
      <w:r>
        <w:t xml:space="preserve">—	</w:t>
      </w:r>
      <w:r>
        <w:rPr>
          <w:b/>
          <w:bCs/>
        </w:rPr>
        <w:t xml:space="preserve">Cobertura parcial.</w:t>
      </w:r>
      <w:r>
        <w:t xml:space="preserve"> Solo detecta cobros de servicios que envían comprobante por correo, y el formato varía por proveedor.</w:t>
      </w:r>
    </w:p>
    <w:p>
      <w:pPr>
        <w:spacing w:after="80" w:line="288"/>
        <w:ind w:left="460" w:hanging="240"/>
        <w:jc w:val="both"/>
      </w:pPr>
      <w:r>
        <w:t xml:space="preserve">—	</w:t>
      </w:r>
      <w:r>
        <w:rPr>
          <w:b/>
          <w:bCs/>
        </w:rPr>
        <w:t xml:space="preserve">Alcance restringido de Google.</w:t>
      </w:r>
      <w:r>
        <w:t xml:space="preserve"> La lectura del buzón es un permiso sensible. Las aplicaciones en estado de prueba admiten un número acotado de usuarios sin proceso de verificación; publicarlas abiertamente exige una evaluación de seguridad. ⚠️ </w:t>
      </w:r>
      <w:r>
        <w:rPr>
          <w:b/>
          <w:bCs/>
        </w:rPr>
        <w:t xml:space="preserve">Las condiciones y límites vigentes deben confirmarse en la consola de Google Cloud antes de comprometer alcance.</w:t>
      </w:r>
    </w:p>
    <w:p>
      <w:pPr>
        <w:spacing w:after="140" w:line="300"/>
        <w:jc w:val="both"/>
      </w:pPr>
      <w:r>
        <w:t xml:space="preserve">Para un proyecto universitario con usuarios de prueba, el modo restringido es suficiente.</w:t>
      </w:r>
    </w:p>
    <w:p>
      <w:pPr>
        <w:pStyle w:val="Heading4"/>
        <w:spacing w:after="90" w:before="200"/>
      </w:pPr>
      <w:r>
        <w:rPr>
          <w:b/>
          <w:bCs/>
          <w:color w:val="2E5395"/>
          <w:sz w:val="21"/>
          <w:szCs w:val="21"/>
        </w:rPr>
        <w:t xml:space="preserve">1.3 Agregación bancaria</w:t>
      </w:r>
    </w:p>
    <w:p>
      <w:pPr>
        <w:spacing w:after="140" w:line="300"/>
        <w:jc w:val="both"/>
      </w:pPr>
      <w:r>
        <w:t xml:space="preserve">Ver capítulo 2.</w:t>
      </w:r>
    </w:p>
    <w:p>
      <w:pPr>
        <w:pStyle w:val="Heading4"/>
        <w:spacing w:after="90" w:before="200"/>
      </w:pPr>
      <w:r>
        <w:rPr>
          <w:b/>
          <w:bCs/>
          <w:color w:val="2E5395"/>
          <w:sz w:val="21"/>
          <w:szCs w:val="21"/>
        </w:rPr>
        <w:t xml:space="preserve">1.4 Sistema de Finanzas Abiertas</w:t>
      </w:r>
    </w:p>
    <w:p>
      <w:pPr>
        <w:spacing w:after="140" w:line="300"/>
        <w:jc w:val="both"/>
      </w:pPr>
      <w:r>
        <w:t xml:space="preserve">Ver capítulo 3.</w:t>
      </w:r>
    </w:p>
    <w:p>
      <w:pPr>
        <w:pStyle w:val="Heading4"/>
        <w:spacing w:after="90" w:before="200"/>
      </w:pPr>
      <w:r>
        <w:rPr>
          <w:b/>
          <w:bCs/>
          <w:color w:val="2E5395"/>
          <w:sz w:val="21"/>
          <w:szCs w:val="21"/>
        </w:rPr>
        <w:t xml:space="preserve">2. Estado de la agregación bancaria en Chile</w:t>
      </w:r>
    </w:p>
    <w:p>
      <w:pPr>
        <w:spacing w:after="140" w:line="300"/>
        <w:jc w:val="both"/>
      </w:pPr>
      <w:r>
        <w:t xml:space="preserve">Dos proveedores operan en el mercado chileno con producto maduro.</w:t>
      </w:r>
    </w:p>
    <w:p>
      <w:pPr>
        <w:pStyle w:val="Heading4"/>
        <w:spacing w:after="90" w:before="200"/>
      </w:pPr>
      <w:r>
        <w:rPr>
          <w:b/>
          <w:bCs/>
          <w:color w:val="2E5395"/>
          <w:sz w:val="21"/>
          <w:szCs w:val="21"/>
        </w:rPr>
        <w:t xml:space="preserve">Fintoc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28"/>
        <w:gridCol w:w="7532"/>
      </w:tblGrid>
      <w:tr>
        <w:trPr>
          <w:tblHeader/>
        </w:trPr>
        <w:tc>
          <w:tcPr>
            <w:tcW w:type="dxa" w:w="1828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Aspecto</w:t>
            </w:r>
          </w:p>
        </w:tc>
        <w:tc>
          <w:tcPr>
            <w:tcW w:type="dxa" w:w="7532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Dato</w:t>
            </w:r>
          </w:p>
        </w:tc>
      </w:tr>
      <w:tr>
        <w:trPr>
          <w:tblHeader w:val="false"/>
        </w:trPr>
        <w:tc>
          <w:tcPr>
            <w:tcW w:type="dxa" w:w="18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Cobro</w:t>
            </w:r>
          </w:p>
        </w:tc>
        <w:tc>
          <w:tcPr>
            <w:tcW w:type="dxa" w:w="75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1% + IVA por transacción vía open banking (medio de pago)</w:t>
            </w:r>
          </w:p>
        </w:tc>
      </w:tr>
      <w:tr>
        <w:trPr>
          <w:tblHeader w:val="false"/>
        </w:trPr>
        <w:tc>
          <w:tcPr>
            <w:tcW w:type="dxa" w:w="18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Mínimo de facturación</w:t>
            </w:r>
          </w:p>
        </w:tc>
        <w:tc>
          <w:tcPr>
            <w:tcW w:type="dxa" w:w="75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6,5 UF + IVA mensuales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aplicable a todos los productos salvo integraciones de comercio electrónico</w:t>
            </w:r>
          </w:p>
        </w:tc>
      </w:tr>
      <w:tr>
        <w:trPr>
          <w:tblHeader w:val="false"/>
        </w:trPr>
        <w:tc>
          <w:tcPr>
            <w:tcW w:type="dxa" w:w="18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Conciliación bancaria</w:t>
            </w:r>
          </w:p>
        </w:tc>
        <w:tc>
          <w:tcPr>
            <w:tcW w:type="dxa" w:w="75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Cobro por cuenta bancaria conectada</w:t>
            </w:r>
          </w:p>
        </w:tc>
      </w:tr>
      <w:tr>
        <w:trPr>
          <w:tblHeader w:val="false"/>
        </w:trPr>
        <w:tc>
          <w:tcPr>
            <w:tcW w:type="dxa" w:w="18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Entorno de prueba</w:t>
            </w:r>
          </w:p>
        </w:tc>
        <w:tc>
          <w:tcPr>
            <w:tcW w:type="dxa" w:w="75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Sandbox disponible sin costo</w:t>
            </w:r>
          </w:p>
        </w:tc>
      </w:tr>
      <w:tr>
        <w:trPr>
          <w:tblHeader w:val="false"/>
        </w:trPr>
        <w:tc>
          <w:tcPr>
            <w:tcW w:type="dxa" w:w="18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Contratación</w:t>
            </w:r>
          </w:p>
        </w:tc>
        <w:tc>
          <w:tcPr>
            <w:tcW w:type="dxa" w:w="75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Vía equipo comercial</w:t>
            </w:r>
          </w:p>
        </w:tc>
      </w:tr>
    </w:tbl>
    <w:p>
      <w:pPr>
        <w:spacing w:after="200"/>
      </w:pPr>
    </w:p>
    <w:p>
      <w:pPr>
        <w:spacing w:after="140" w:line="300"/>
        <w:jc w:val="both"/>
      </w:pPr>
      <w:r>
        <w:t xml:space="preserve">Con la UF a </w:t>
      </w:r>
      <w:r>
        <w:rPr>
          <w:b/>
          <w:bCs/>
        </w:rPr>
        <w:t xml:space="preserve">$40.867</w:t>
      </w:r>
      <w:r>
        <w:t xml:space="preserve"> (26-08-2026), ese mínimo equivale a </w:t>
      </w:r>
      <w:r>
        <w:rPr>
          <w:b/>
          <w:bCs/>
        </w:rPr>
        <w:t xml:space="preserve">≈ $265.600 mensuales, ≈ $316.100 con IVA</w:t>
      </w:r>
      <w:r>
        <w:t xml:space="preserve">, se use o no el servicio.</w:t>
      </w:r>
    </w:p>
    <w:p>
      <w:pPr>
        <w:pStyle w:val="Heading4"/>
        <w:spacing w:after="90" w:before="200"/>
      </w:pPr>
      <w:r>
        <w:rPr>
          <w:b/>
          <w:bCs/>
          <w:color w:val="2E5395"/>
          <w:sz w:val="21"/>
          <w:szCs w:val="21"/>
        </w:rPr>
        <w:t xml:space="preserve">Belvo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14"/>
        <w:gridCol w:w="7346"/>
      </w:tblGrid>
      <w:tr>
        <w:trPr>
          <w:tblHeader/>
        </w:trPr>
        <w:tc>
          <w:tcPr>
            <w:tcW w:type="dxa" w:w="2014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Aspecto</w:t>
            </w:r>
          </w:p>
        </w:tc>
        <w:tc>
          <w:tcPr>
            <w:tcW w:type="dxa" w:w="7346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Dato</w:t>
            </w:r>
          </w:p>
        </w:tc>
      </w:tr>
      <w:tr>
        <w:trPr>
          <w:tblHeader w:val="false"/>
        </w:trPr>
        <w:tc>
          <w:tcPr>
            <w:tcW w:type="dxa" w:w="20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Planes</w:t>
            </w:r>
          </w:p>
        </w:tc>
        <w:tc>
          <w:tcPr>
            <w:tcW w:type="dxa" w:w="73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Desde </w:t>
            </w:r>
            <w:r>
              <w:rPr>
                <w:b w:val="false"/>
                <w:bCs w:val="false"/>
                <w:sz w:val="19"/>
                <w:szCs w:val="19"/>
              </w:rPr>
              <w:t xml:space="preserve">USD 1.000 mensuales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con planes a medida por volumen</w:t>
            </w:r>
          </w:p>
        </w:tc>
      </w:tr>
      <w:tr>
        <w:trPr>
          <w:tblHeader w:val="false"/>
        </w:trPr>
        <w:tc>
          <w:tcPr>
            <w:tcW w:type="dxa" w:w="20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Entorno de prueba</w:t>
            </w:r>
          </w:p>
        </w:tc>
        <w:tc>
          <w:tcPr>
            <w:tcW w:type="dxa" w:w="73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Sandbox gratuito con datos ficticios</w:t>
            </w:r>
          </w:p>
        </w:tc>
      </w:tr>
      <w:tr>
        <w:trPr>
          <w:tblHeader w:val="false"/>
        </w:trPr>
        <w:tc>
          <w:tcPr>
            <w:tcW w:type="dxa" w:w="20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Cobertura</w:t>
            </w:r>
          </w:p>
        </w:tc>
        <w:tc>
          <w:tcPr>
            <w:tcW w:type="dxa" w:w="73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Regional; su foco declarado está en México y Brasil</w:t>
            </w:r>
          </w:p>
        </w:tc>
      </w:tr>
    </w:tbl>
    <w:p>
      <w:pPr>
        <w:spacing w:after="200"/>
      </w:pPr>
    </w:p>
    <w:p>
      <w:pPr>
        <w:pStyle w:val="Heading4"/>
        <w:spacing w:after="90" w:before="200"/>
      </w:pPr>
      <w:r>
        <w:rPr>
          <w:b/>
          <w:bCs/>
          <w:color w:val="2E5395"/>
          <w:sz w:val="21"/>
          <w:szCs w:val="21"/>
        </w:rPr>
        <w:t xml:space="preserve">Conclusión del capítulo</w:t>
      </w:r>
    </w:p>
    <w:p>
      <w:pPr>
        <w:pBdr>
          <w:left w:val="single" w:color="BF9000" w:sz="14" w:space="12"/>
        </w:pBdr>
        <w:shd w:fill="FFF2CC" w:color="auto" w:val="clear"/>
        <w:spacing w:after="160" w:before="160" w:line="300"/>
        <w:ind w:left="300" w:right="300"/>
        <w:jc w:val="both"/>
      </w:pPr>
      <w:r>
        <w:rPr>
          <w:b/>
          <w:bCs/>
          <w:sz w:val="21"/>
          <w:szCs w:val="21"/>
        </w:rPr>
        <w:t xml:space="preserve">La agregación bancaria en producción es económicamente inviable para este proyecto.</w:t>
      </w:r>
      <w:r>
        <w:rPr>
          <w:b/>
          <w:bCs/>
          <w:sz w:val="21"/>
          <w:szCs w:val="21"/>
        </w:rPr>
        <w:t xml:space="preserve"> El piso de gasto mensual de cualquiera de los dos proveedores supera el presupuesto completo de un trabajo universitario. </w:t>
      </w:r>
      <w:r>
        <w:rPr>
          <w:b/>
          <w:bCs/>
          <w:sz w:val="21"/>
          <w:szCs w:val="21"/>
        </w:rPr>
        <w:t xml:space="preserve">Los entornos de prueba, en cambio, sí son accesibles y gratuitos.</w:t>
      </w:r>
      <w:r>
        <w:rPr>
          <w:b/>
          <w:bCs/>
          <w:sz w:val="21"/>
          <w:szCs w:val="21"/>
        </w:rPr>
        <w:t xml:space="preserve"> Permiten implementar y demostrar la integración con datos ficticios sin contratar el servicio.</w:t>
      </w:r>
    </w:p>
    <w:p>
      <w:pPr>
        <w:pStyle w:val="Heading4"/>
        <w:spacing w:after="90" w:before="200"/>
      </w:pPr>
      <w:r>
        <w:rPr>
          <w:b/>
          <w:bCs/>
          <w:color w:val="2E5395"/>
          <w:sz w:val="21"/>
          <w:szCs w:val="21"/>
        </w:rPr>
        <w:t xml:space="preserve">3. Ley Fintech 21.521 y el Sistema de Finanzas Abiertas</w:t>
      </w:r>
    </w:p>
    <w:p>
      <w:pPr>
        <w:spacing w:after="140" w:line="300"/>
        <w:jc w:val="both"/>
      </w:pPr>
      <w:r>
        <w:t xml:space="preserve">La Ley 21.521 regula servicios financieros tecnológicos y crea el </w:t>
      </w:r>
      <w:r>
        <w:rPr>
          <w:b/>
          <w:bCs/>
        </w:rPr>
        <w:t xml:space="preserve">Sistema de Finanzas Abiertas (SFA)</w:t>
      </w:r>
      <w:r>
        <w:t xml:space="preserve">: un ecosistema de intercambio de datos financieros con consentimiento explícito del titular, que permitiría a terceros autorizados acceder a información bancaria mediante interfaces estandarizadas.</w:t>
      </w:r>
    </w:p>
    <w:p>
      <w:pPr>
        <w:spacing w:after="140" w:line="300"/>
        <w:jc w:val="both"/>
      </w:pPr>
      <w:r>
        <w:t xml:space="preserve">Es, en teoría, la solución ideal al problema de este ADR.</w:t>
      </w:r>
    </w:p>
    <w:p>
      <w:pPr>
        <w:pStyle w:val="Heading4"/>
        <w:spacing w:after="90" w:before="200"/>
      </w:pPr>
      <w:r>
        <w:rPr>
          <w:b/>
          <w:bCs/>
          <w:color w:val="2E5395"/>
          <w:sz w:val="21"/>
          <w:szCs w:val="21"/>
        </w:rPr>
        <w:t xml:space="preserve">El cronograma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636"/>
        <w:gridCol w:w="3724"/>
      </w:tblGrid>
      <w:tr>
        <w:trPr>
          <w:tblHeader/>
        </w:trPr>
        <w:tc>
          <w:tcPr>
            <w:tcW w:type="dxa" w:w="5636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Hito</w:t>
            </w:r>
          </w:p>
        </w:tc>
        <w:tc>
          <w:tcPr>
            <w:tcW w:type="dxa" w:w="3724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Fecha</w:t>
            </w:r>
          </w:p>
        </w:tc>
      </w:tr>
      <w:tr>
        <w:trPr>
          <w:tblHeader w:val="false"/>
        </w:trPr>
        <w:tc>
          <w:tcPr>
            <w:tcW w:type="dxa" w:w="56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Publicación de la ley</w:t>
            </w:r>
          </w:p>
        </w:tc>
        <w:tc>
          <w:tcPr>
            <w:tcW w:type="dxa" w:w="37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2023</w:t>
            </w:r>
          </w:p>
        </w:tc>
      </w:tr>
      <w:tr>
        <w:trPr>
          <w:tblHeader w:val="false"/>
        </w:trPr>
        <w:tc>
          <w:tcPr>
            <w:tcW w:type="dxa" w:w="56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Entrada en operación </w:t>
            </w:r>
            <w:r>
              <w:rPr>
                <w:b w:val="false"/>
                <w:bCs w:val="false"/>
                <w:sz w:val="19"/>
                <w:szCs w:val="19"/>
              </w:rPr>
              <w:t xml:space="preserve">originalmente prevista</w:t>
            </w:r>
          </w:p>
        </w:tc>
        <w:tc>
          <w:tcPr>
            <w:tcW w:type="dxa" w:w="37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Julio de 2026</w:t>
            </w:r>
          </w:p>
        </w:tc>
      </w:tr>
      <w:tr>
        <w:trPr>
          <w:tblHeader w:val="false"/>
        </w:trPr>
        <w:tc>
          <w:tcPr>
            <w:tcW w:type="dxa" w:w="56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Consulta pública de la CMF que propone posponer 12 meses</w:t>
            </w:r>
          </w:p>
        </w:tc>
        <w:tc>
          <w:tcPr>
            <w:tcW w:type="dxa" w:w="37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Noviembre de 2025</w:t>
            </w:r>
          </w:p>
        </w:tc>
      </w:tr>
      <w:tr>
        <w:trPr>
          <w:tblHeader w:val="false"/>
        </w:trPr>
        <w:tc>
          <w:tcPr>
            <w:tcW w:type="dxa" w:w="56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Entrada en operación según NCG 569</w:t>
            </w:r>
          </w:p>
        </w:tc>
        <w:tc>
          <w:tcPr>
            <w:tcW w:type="dxa" w:w="37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Julio de 2027</w:t>
            </w:r>
          </w:p>
        </w:tc>
      </w:tr>
      <w:tr>
        <w:trPr>
          <w:tblHeader w:val="false"/>
        </w:trPr>
        <w:tc>
          <w:tcPr>
            <w:tcW w:type="dxa" w:w="56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Sandbox y Directorio de la CMF disponibles</w:t>
            </w:r>
          </w:p>
        </w:tc>
        <w:tc>
          <w:tcPr>
            <w:tcW w:type="dxa" w:w="37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9 meses antes → </w:t>
            </w:r>
            <w:r>
              <w:rPr>
                <w:b w:val="false"/>
                <w:bCs w:val="false"/>
                <w:sz w:val="19"/>
                <w:szCs w:val="19"/>
              </w:rPr>
              <w:t xml:space="preserve">≈ octubre de 2026</w:t>
            </w:r>
          </w:p>
        </w:tc>
      </w:tr>
    </w:tbl>
    <w:p>
      <w:pPr>
        <w:spacing w:after="200"/>
      </w:pPr>
    </w:p>
    <w:p>
      <w:pPr>
        <w:spacing w:after="140" w:line="300"/>
        <w:jc w:val="both"/>
      </w:pPr>
      <w:r>
        <w:t xml:space="preserve">Tras la entrada en vigencia rige además un calendario gradual: entre 5 y 18 meses para bancos y emisores de tarjetas según el tipo de interfaz, y entre 20 y 30 meses para el resto de las entidades reguladas.</w:t>
      </w:r>
    </w:p>
    <w:p>
      <w:pPr>
        <w:pStyle w:val="Heading4"/>
        <w:spacing w:after="90" w:before="200"/>
      </w:pPr>
      <w:r>
        <w:rPr>
          <w:b/>
          <w:bCs/>
          <w:color w:val="2E5395"/>
          <w:sz w:val="21"/>
          <w:szCs w:val="21"/>
        </w:rPr>
        <w:t xml:space="preserve">Conclusión del capítulo</w:t>
      </w:r>
    </w:p>
    <w:p>
      <w:pPr>
        <w:pBdr>
          <w:left w:val="single" w:color="BF9000" w:sz="14" w:space="12"/>
        </w:pBdr>
        <w:shd w:fill="FFF2CC" w:color="auto" w:val="clear"/>
        <w:spacing w:after="160" w:before="160" w:line="300"/>
        <w:ind w:left="300" w:right="300"/>
        <w:jc w:val="both"/>
      </w:pPr>
      <w:r>
        <w:rPr>
          <w:b/>
          <w:bCs/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 xml:space="preserve">El Sistema de Finanzas Abiertas no estará operativo durante este proyecto, ni durante el año siguiente.</w:t>
      </w:r>
      <w:r>
        <w:rPr>
          <w:b/>
          <w:bCs/>
          <w:sz w:val="21"/>
          <w:szCs w:val="21"/>
        </w:rPr>
        <w:t xml:space="preserve"> La postergación de la CMF lo lleva a julio de 2027, y las interfaces de mayor utilidad para este caso llegan aún después. Esto no es un obstáculo, es un </w:t>
      </w:r>
      <w:r>
        <w:rPr>
          <w:b/>
          <w:bCs/>
          <w:sz w:val="21"/>
          <w:szCs w:val="21"/>
        </w:rPr>
        <w:t xml:space="preserve">argumento de diseño</w:t>
      </w:r>
      <w:r>
        <w:rPr>
          <w:b/>
          <w:bCs/>
          <w:sz w:val="21"/>
          <w:szCs w:val="21"/>
        </w:rPr>
        <w:t xml:space="preserve">: la arquitectura de conectores (</w:t>
      </w:r>
      <w:r>
        <w:rPr>
          <w:rFonts w:ascii="Consolas" w:cs="Consolas" w:eastAsia="Consolas" w:hAnsi="Consolas"/>
          <w:b/>
          <w:bCs/>
          <w:sz w:val="21"/>
          <w:szCs w:val="21"/>
        </w:rPr>
        <w:t xml:space="preserve">services/connectors</w:t>
      </w:r>
      <w:r>
        <w:rPr>
          <w:b/>
          <w:bCs/>
          <w:sz w:val="21"/>
          <w:szCs w:val="21"/>
        </w:rPr>
        <w:t xml:space="preserve">) permite incorporar el SFA como una fuente adicional cuando exista, sin rediseñar el sistema. El proyecto queda deliberadamente preparado para una capacidad que el mercado todavía no ofrece.</w:t>
      </w:r>
    </w:p>
    <w:p>
      <w:pPr>
        <w:pStyle w:val="Heading4"/>
        <w:spacing w:after="90" w:before="200"/>
      </w:pPr>
      <w:r>
        <w:rPr>
          <w:b/>
          <w:bCs/>
          <w:color w:val="2E5395"/>
          <w:sz w:val="21"/>
          <w:szCs w:val="21"/>
        </w:rPr>
        <w:t xml:space="preserve">4. Decisión</w:t>
      </w:r>
    </w:p>
    <w:p>
      <w:pPr>
        <w:spacing w:after="140" w:line="300"/>
        <w:jc w:val="both"/>
      </w:pPr>
      <w:r>
        <w:rPr>
          <w:b/>
          <w:bCs/>
        </w:rPr>
        <w:t xml:space="preserve">Se adopta una estrategia escalonada: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880"/>
        <w:gridCol w:w="2155"/>
        <w:gridCol w:w="6325"/>
      </w:tblGrid>
      <w:tr>
        <w:trPr>
          <w:tblHeader/>
        </w:trPr>
        <w:tc>
          <w:tcPr>
            <w:tcW w:type="dxa" w:w="880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2155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Fuente</w:t>
            </w:r>
          </w:p>
        </w:tc>
        <w:tc>
          <w:tcPr>
            <w:tcW w:type="dxa" w:w="6325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Estado en el proyecto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1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Entrada manual + importación CSV</w:t>
            </w:r>
          </w:p>
        </w:tc>
        <w:tc>
          <w:tcPr>
            <w:tcW w:type="dxa" w:w="63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Implementada. Piso obligatorio: el sistema funciona sin ningún conector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1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Lectura de correo</w:t>
            </w:r>
          </w:p>
        </w:tc>
        <w:tc>
          <w:tcPr>
            <w:tcW w:type="dxa" w:w="63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Implementada con usuarios de prueba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1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Agregación bancaria</w:t>
            </w:r>
          </w:p>
        </w:tc>
        <w:tc>
          <w:tcPr>
            <w:tcW w:type="dxa" w:w="63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Integración contra el </w:t>
            </w:r>
            <w:r>
              <w:rPr>
                <w:b w:val="false"/>
                <w:bCs w:val="false"/>
                <w:sz w:val="19"/>
                <w:szCs w:val="19"/>
              </w:rPr>
              <w:t xml:space="preserve">sandbox</w:t>
            </w:r>
            <w:r>
              <w:rPr>
                <w:b w:val="false"/>
                <w:bCs w:val="false"/>
                <w:sz w:val="19"/>
                <w:szCs w:val="19"/>
              </w:rPr>
              <w:t xml:space="preserve"> de Fintoc, si el tiempo lo permite. Producción fuera de alcance por costo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1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Sistema de Finanzas Abiertas</w:t>
            </w:r>
          </w:p>
        </w:tc>
        <w:tc>
          <w:tcPr>
            <w:tcW w:type="dxa" w:w="63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Trabajo futuro, con fecha conocida: julio de 2027</w:t>
            </w:r>
          </w:p>
        </w:tc>
      </w:tr>
    </w:tbl>
    <w:p>
      <w:pPr>
        <w:spacing w:after="200"/>
      </w:pPr>
    </w:p>
    <w:p>
      <w:pPr>
        <w:pStyle w:val="Heading4"/>
        <w:spacing w:after="90" w:before="200"/>
      </w:pPr>
      <w:r>
        <w:rPr>
          <w:b/>
          <w:bCs/>
          <w:color w:val="2E5395"/>
          <w:sz w:val="21"/>
          <w:szCs w:val="21"/>
        </w:rPr>
        <w:t xml:space="preserve">Justificación</w:t>
      </w:r>
    </w:p>
    <w:p>
      <w:pPr>
        <w:spacing w:after="90" w:line="288"/>
        <w:ind w:left="520" w:hanging="340"/>
        <w:jc w:val="both"/>
      </w:pPr>
      <w:r>
        <w:rPr>
          <w:b/>
          <w:bCs/>
        </w:rPr>
        <w:t xml:space="preserve">1.	</w:t>
      </w:r>
      <w:r>
        <w:rPr>
          <w:b/>
          <w:bCs/>
        </w:rPr>
        <w:t xml:space="preserve">El producto funciona desde el primer día.</w:t>
      </w:r>
      <w:r>
        <w:t xml:space="preserve"> Las dos funcionalidades más demandadas —aviso de cobro y aviso de fin de prueba— se satisfacen con entrada manual. No dependen de ninguna integración externa.</w:t>
      </w:r>
    </w:p>
    <w:p>
      <w:pPr>
        <w:spacing w:after="90" w:line="288"/>
        <w:ind w:left="520" w:hanging="340"/>
        <w:jc w:val="both"/>
      </w:pPr>
      <w:r>
        <w:rPr>
          <w:b/>
          <w:bCs/>
        </w:rPr>
        <w:t xml:space="preserve">2.	</w:t>
      </w:r>
      <w:r>
        <w:rPr>
          <w:b/>
          <w:bCs/>
        </w:rPr>
        <w:t xml:space="preserve">El costo de la agregación bancaria excede el proyecto por dos órdenes de magnitud.</w:t>
      </w:r>
      <w:r>
        <w:t xml:space="preserve"> No es una limitación de diseño, es una restricción de mercado documentada.</w:t>
      </w:r>
    </w:p>
    <w:p>
      <w:pPr>
        <w:spacing w:after="90" w:line="288"/>
        <w:ind w:left="520" w:hanging="340"/>
        <w:jc w:val="both"/>
      </w:pPr>
      <w:r>
        <w:rPr>
          <w:b/>
          <w:bCs/>
        </w:rPr>
        <w:t xml:space="preserve">3.	</w:t>
      </w:r>
      <w:r>
        <w:rPr>
          <w:b/>
          <w:bCs/>
        </w:rPr>
        <w:t xml:space="preserve">La integración es demostrable sin contratarla.</w:t>
      </w:r>
      <w:r>
        <w:t xml:space="preserve"> El sandbox permite mostrar el conector funcionando en la defensa.</w:t>
      </w:r>
    </w:p>
    <w:p>
      <w:pPr>
        <w:spacing w:after="90" w:line="288"/>
        <w:ind w:left="520" w:hanging="340"/>
        <w:jc w:val="both"/>
      </w:pPr>
      <w:r>
        <w:rPr>
          <w:b/>
          <w:bCs/>
        </w:rPr>
        <w:t xml:space="preserve">4.	</w:t>
      </w:r>
      <w:r>
        <w:rPr>
          <w:b/>
          <w:bCs/>
        </w:rPr>
        <w:t xml:space="preserve">La arquitectura no queda comprometida.</w:t>
      </w:r>
      <w:r>
        <w:t xml:space="preserve"> El contrato común de conectores (</w:t>
      </w:r>
      <w:r>
        <w:rPr>
          <w:rFonts w:ascii="Consolas" w:cs="Consolas" w:eastAsia="Consolas" w:hAnsi="Consolas"/>
        </w:rPr>
        <w:t xml:space="preserve">sincronizar()</w:t>
      </w:r>
      <w:r>
        <w:t xml:space="preserve">, </w:t>
      </w:r>
      <w:r>
        <w:rPr>
          <w:rFonts w:ascii="Consolas" w:cs="Consolas" w:eastAsia="Consolas" w:hAnsi="Consolas"/>
        </w:rPr>
        <w:t xml:space="preserve">obtener_uso()</w:t>
      </w:r>
      <w:r>
        <w:t xml:space="preserve">) admite una fuente nueva sin tocar el resto del sistema.</w:t>
      </w:r>
    </w:p>
    <w:p>
      <w:pPr>
        <w:pStyle w:val="Heading4"/>
        <w:spacing w:after="90" w:before="200"/>
      </w:pPr>
      <w:r>
        <w:rPr>
          <w:b/>
          <w:bCs/>
          <w:color w:val="2E5395"/>
          <w:sz w:val="21"/>
          <w:szCs w:val="21"/>
        </w:rPr>
        <w:t xml:space="preserve">Consecuencias</w:t>
      </w:r>
    </w:p>
    <w:p>
      <w:pPr>
        <w:spacing w:after="140" w:line="300"/>
        <w:jc w:val="both"/>
      </w:pPr>
      <w:r>
        <w:rPr>
          <w:b/>
          <w:bCs/>
        </w:rPr>
        <w:t xml:space="preserve">Positivas</w:t>
      </w:r>
    </w:p>
    <w:p>
      <w:pPr>
        <w:spacing w:after="80" w:line="288"/>
        <w:ind w:left="460" w:hanging="240"/>
        <w:jc w:val="both"/>
      </w:pPr>
      <w:r>
        <w:t xml:space="preserve">—	</w:t>
      </w:r>
      <w:r>
        <w:t xml:space="preserve">Ningún riesgo de que el proyecto quede bloqueado por una dependencia externa</w:t>
      </w:r>
    </w:p>
    <w:p>
      <w:pPr>
        <w:spacing w:after="80" w:line="288"/>
        <w:ind w:left="460" w:hanging="240"/>
        <w:jc w:val="both"/>
      </w:pPr>
      <w:r>
        <w:t xml:space="preserve">—	</w:t>
      </w:r>
      <w:r>
        <w:t xml:space="preserve">Sin exposición regulatoria en producción</w:t>
      </w:r>
    </w:p>
    <w:p>
      <w:pPr>
        <w:spacing w:after="80" w:line="288"/>
        <w:ind w:left="460" w:hanging="240"/>
        <w:jc w:val="both"/>
      </w:pPr>
      <w:r>
        <w:t xml:space="preserve">—	</w:t>
      </w:r>
      <w:r>
        <w:t xml:space="preserve">Ruta de evolución documentada y fechada</w:t>
      </w:r>
    </w:p>
    <w:p>
      <w:pPr>
        <w:spacing w:after="140" w:line="300"/>
        <w:jc w:val="both"/>
      </w:pPr>
      <w:r>
        <w:rPr>
          <w:b/>
          <w:bCs/>
        </w:rPr>
        <w:t xml:space="preserve">Negativas — asumidas</w:t>
      </w:r>
    </w:p>
    <w:p>
      <w:pPr>
        <w:spacing w:after="80" w:line="288"/>
        <w:ind w:left="460" w:hanging="240"/>
        <w:jc w:val="both"/>
      </w:pPr>
      <w:r>
        <w:t xml:space="preserve">—	</w:t>
      </w:r>
      <w:r>
        <w:t xml:space="preserve">La detección automática de cobros queda limitada a lo que el correo permita</w:t>
      </w:r>
    </w:p>
    <w:p>
      <w:pPr>
        <w:spacing w:after="80" w:line="288"/>
        <w:ind w:left="460" w:hanging="240"/>
        <w:jc w:val="both"/>
      </w:pPr>
      <w:r>
        <w:t xml:space="preserve">—	</w:t>
      </w:r>
      <w:r>
        <w:t xml:space="preserve">La carga inicial de suscripciones recae en el usuario, lo que constituye fricción de adopción real y debe declararse en el informe</w:t>
      </w:r>
    </w:p>
    <w:p>
      <w:pPr>
        <w:pStyle w:val="Heading4"/>
        <w:spacing w:after="90" w:before="200"/>
      </w:pPr>
      <w:r>
        <w:rPr>
          <w:b/>
          <w:bCs/>
          <w:color w:val="2E5395"/>
          <w:sz w:val="21"/>
          <w:szCs w:val="21"/>
        </w:rPr>
        <w:t xml:space="preserve">5. Protección de datos — Ley 21.719</w:t>
      </w:r>
    </w:p>
    <w:p>
      <w:pPr>
        <w:pStyle w:val="Heading4"/>
        <w:spacing w:after="90" w:before="200"/>
      </w:pPr>
      <w:r>
        <w:rPr>
          <w:b/>
          <w:bCs/>
          <w:color w:val="2E5395"/>
          <w:sz w:val="21"/>
          <w:szCs w:val="21"/>
        </w:rPr>
        <w:t xml:space="preserve">Vigencia</w:t>
      </w:r>
    </w:p>
    <w:p>
      <w:pPr>
        <w:spacing w:after="140" w:line="300"/>
        <w:jc w:val="both"/>
      </w:pPr>
      <w:r>
        <w:t xml:space="preserve">La Ley 21.719 fue publicada el </w:t>
      </w:r>
      <w:r>
        <w:rPr>
          <w:b/>
          <w:bCs/>
        </w:rPr>
        <w:t xml:space="preserve">13 de diciembre de 2024</w:t>
      </w:r>
      <w:r>
        <w:t xml:space="preserve"> y </w:t>
      </w:r>
      <w:r>
        <w:rPr>
          <w:b/>
          <w:bCs/>
        </w:rPr>
        <w:t xml:space="preserve">entra en vigencia el 1 de diciembre de 2026</w:t>
      </w:r>
      <w:r>
        <w:t xml:space="preserve">, es decir, </w:t>
      </w:r>
      <w:r>
        <w:rPr>
          <w:b/>
          <w:bCs/>
        </w:rPr>
        <w:t xml:space="preserve">durante el desarrollo de este proyecto</w:t>
      </w:r>
      <w:r>
        <w:t xml:space="preserve">.</w:t>
      </w:r>
    </w:p>
    <w:p>
      <w:pPr>
        <w:pStyle w:val="Heading4"/>
        <w:spacing w:after="90" w:before="200"/>
      </w:pPr>
      <w:r>
        <w:rPr>
          <w:b/>
          <w:bCs/>
          <w:color w:val="2E5395"/>
          <w:sz w:val="21"/>
          <w:szCs w:val="21"/>
        </w:rPr>
        <w:t xml:space="preserve">Obligaciones relevantes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59"/>
        <w:gridCol w:w="7101"/>
      </w:tblGrid>
      <w:tr>
        <w:trPr>
          <w:tblHeader/>
        </w:trPr>
        <w:tc>
          <w:tcPr>
            <w:tcW w:type="dxa" w:w="2259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Obligación</w:t>
            </w:r>
          </w:p>
        </w:tc>
        <w:tc>
          <w:tcPr>
            <w:tcW w:type="dxa" w:w="7101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Qué implica acá</w:t>
            </w:r>
          </w:p>
        </w:tc>
      </w:tr>
      <w:tr>
        <w:trPr>
          <w:tblHeader w:val="false"/>
        </w:trPr>
        <w:tc>
          <w:tcPr>
            <w:tcW w:type="dxa" w:w="22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 de licitud y consentimiento</w:t>
            </w:r>
          </w:p>
        </w:tc>
        <w:tc>
          <w:tcPr>
            <w:tcW w:type="dxa" w:w="710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El consentimiento debe ser específico, informado y </w:t>
            </w:r>
            <w:r>
              <w:rPr>
                <w:b w:val="false"/>
                <w:bCs w:val="false"/>
                <w:sz w:val="19"/>
                <w:szCs w:val="19"/>
              </w:rPr>
              <w:t xml:space="preserve">revocable</w:t>
            </w:r>
            <w:r>
              <w:rPr>
                <w:b w:val="false"/>
                <w:bCs w:val="false"/>
                <w:sz w:val="19"/>
                <w:szCs w:val="19"/>
              </w:rPr>
              <w:t xml:space="preserve">. Conectar una cuenta externa exige consentimiento propio y separado</w:t>
            </w:r>
          </w:p>
        </w:tc>
      </w:tr>
      <w:tr>
        <w:trPr>
          <w:tblHeader w:val="false"/>
        </w:trPr>
        <w:tc>
          <w:tcPr>
            <w:tcW w:type="dxa" w:w="22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Derechos ARCO</w:t>
            </w:r>
          </w:p>
        </w:tc>
        <w:tc>
          <w:tcPr>
            <w:tcW w:type="dxa" w:w="710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Acceso, rectificación, cancelación y oposición. El usuario debe poder exportar y eliminar sus datos</w:t>
            </w:r>
          </w:p>
        </w:tc>
      </w:tr>
      <w:tr>
        <w:trPr>
          <w:tblHeader w:val="false"/>
        </w:trPr>
        <w:tc>
          <w:tcPr>
            <w:tcW w:type="dxa" w:w="22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Registro de actividades de tratamiento</w:t>
            </w:r>
          </w:p>
        </w:tc>
        <w:tc>
          <w:tcPr>
            <w:tcW w:type="dxa" w:w="710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Documentar qué datos se tratan, para qué y por cuánto tiempo</w:t>
            </w:r>
          </w:p>
        </w:tc>
      </w:tr>
      <w:tr>
        <w:trPr>
          <w:tblHeader w:val="false"/>
        </w:trPr>
        <w:tc>
          <w:tcPr>
            <w:tcW w:type="dxa" w:w="22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Notificación de brechas</w:t>
            </w:r>
          </w:p>
        </w:tc>
        <w:tc>
          <w:tcPr>
            <w:tcW w:type="dxa" w:w="710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Reporte a la Agencia dentro de </w:t>
            </w:r>
            <w:r>
              <w:rPr>
                <w:b w:val="false"/>
                <w:bCs w:val="false"/>
                <w:sz w:val="19"/>
                <w:szCs w:val="19"/>
              </w:rPr>
              <w:t xml:space="preserve">72 horas</w:t>
            </w:r>
          </w:p>
        </w:tc>
      </w:tr>
      <w:tr>
        <w:trPr>
          <w:tblHeader w:val="false"/>
        </w:trPr>
        <w:tc>
          <w:tcPr>
            <w:tcW w:type="dxa" w:w="22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Datos financieros</w:t>
            </w:r>
          </w:p>
        </w:tc>
        <w:tc>
          <w:tcPr>
            <w:tcW w:type="dxa" w:w="710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Si la brecha involucra datos financieros, </w:t>
            </w:r>
            <w:r>
              <w:rPr>
                <w:b w:val="false"/>
                <w:bCs w:val="false"/>
                <w:sz w:val="19"/>
                <w:szCs w:val="19"/>
              </w:rPr>
              <w:t xml:space="preserve">además hay que comunicar a los titulares afectados</w:t>
            </w:r>
            <w:r>
              <w:rPr>
                <w:b w:val="false"/>
                <w:bCs w:val="false"/>
                <w:sz w:val="19"/>
                <w:szCs w:val="19"/>
              </w:rPr>
              <w:t xml:space="preserve"> en lenguaje claro</w:t>
            </w:r>
          </w:p>
        </w:tc>
      </w:tr>
      <w:tr>
        <w:trPr>
          <w:tblHeader w:val="false"/>
        </w:trPr>
        <w:tc>
          <w:tcPr>
            <w:tcW w:type="dxa" w:w="22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Sanciones</w:t>
            </w:r>
          </w:p>
        </w:tc>
        <w:tc>
          <w:tcPr>
            <w:tcW w:type="dxa" w:w="710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Hasta </w:t>
            </w:r>
            <w:r>
              <w:rPr>
                <w:b w:val="false"/>
                <w:bCs w:val="false"/>
                <w:sz w:val="19"/>
                <w:szCs w:val="19"/>
              </w:rPr>
              <w:t xml:space="preserve">20.000 UTM</w:t>
            </w:r>
            <w:r>
              <w:rPr>
                <w:b w:val="false"/>
                <w:bCs w:val="false"/>
                <w:sz w:val="19"/>
                <w:szCs w:val="19"/>
              </w:rPr>
              <w:t xml:space="preserve">, o 4% de los ingresos anuales en caso de reincidencia</w:t>
            </w:r>
          </w:p>
        </w:tc>
      </w:tr>
    </w:tbl>
    <w:p>
      <w:pPr>
        <w:spacing w:after="200"/>
      </w:pPr>
    </w:p>
    <w:p>
      <w:pPr>
        <w:pStyle w:val="Heading4"/>
        <w:spacing w:after="90" w:before="200"/>
      </w:pPr>
      <w:r>
        <w:rPr>
          <w:b/>
          <w:bCs/>
          <w:color w:val="2E5395"/>
          <w:sz w:val="21"/>
          <w:szCs w:val="21"/>
        </w:rPr>
        <w:t xml:space="preserve">Consecuencias de diseño</w:t>
      </w:r>
    </w:p>
    <w:p>
      <w:pPr>
        <w:spacing w:after="140" w:line="300"/>
        <w:jc w:val="both"/>
      </w:pPr>
      <w:r>
        <w:t xml:space="preserve">Estas obligaciones se traducen en decisiones concretas, no en una sección declarativa del informe:</w:t>
      </w:r>
    </w:p>
    <w:p>
      <w:pPr>
        <w:spacing w:after="90" w:line="288"/>
        <w:ind w:left="520" w:hanging="340"/>
        <w:jc w:val="both"/>
      </w:pPr>
      <w:r>
        <w:rPr>
          <w:b/>
          <w:bCs/>
        </w:rPr>
        <w:t xml:space="preserve">1.	</w:t>
      </w:r>
      <w:r>
        <w:rPr>
          <w:b/>
          <w:bCs/>
        </w:rPr>
        <w:t xml:space="preserve">Minimización.</w:t>
      </w:r>
      <w:r>
        <w:t xml:space="preserve"> Se almacena únicamente proveedor, monto, fecha y ciclo. </w:t>
      </w:r>
      <w:r>
        <w:rPr>
          <w:b/>
          <w:bCs/>
        </w:rPr>
        <w:t xml:space="preserve">No se guarda la cartola completa ni el detalle de transacciones ajenas a suscripciones.</w:t>
      </w:r>
      <w:r>
        <w:t xml:space="preserve"> Menos datos almacenados, menor exposición ante una brecha.</w:t>
      </w:r>
    </w:p>
    <w:p>
      <w:pPr>
        <w:spacing w:after="90" w:line="288"/>
        <w:ind w:left="520" w:hanging="340"/>
        <w:jc w:val="both"/>
      </w:pPr>
      <w:r>
        <w:rPr>
          <w:b/>
          <w:bCs/>
        </w:rPr>
        <w:t xml:space="preserve">2.	</w:t>
      </w:r>
      <w:r>
        <w:rPr>
          <w:b/>
          <w:bCs/>
        </w:rPr>
        <w:t xml:space="preserve">Cifrado de credenciales.</w:t>
      </w:r>
      <w:r>
        <w:t xml:space="preserve"> Los tokens de los conectores se almacenan cifrados y nunca se exponen en la interfaz ni en los registros de la aplicación (ya establecido en CU-12).</w:t>
      </w:r>
    </w:p>
    <w:p>
      <w:pPr>
        <w:spacing w:after="90" w:line="288"/>
        <w:ind w:left="520" w:hanging="340"/>
        <w:jc w:val="both"/>
      </w:pPr>
      <w:r>
        <w:rPr>
          <w:b/>
          <w:bCs/>
        </w:rPr>
        <w:t xml:space="preserve">3.	</w:t>
      </w:r>
      <w:r>
        <w:rPr>
          <w:b/>
          <w:bCs/>
        </w:rPr>
        <w:t xml:space="preserve">Consentimiento separado y revocable por conector.</w:t>
      </w:r>
      <w:r>
        <w:t xml:space="preserve"> Aceptar los términos de la aplicación no habilita a leer el correo. Desconectar un conector debe </w:t>
      </w:r>
      <w:r>
        <w:rPr>
          <w:b/>
          <w:bCs/>
        </w:rPr>
        <w:t xml:space="preserve">eliminar</w:t>
      </w:r>
      <w:r>
        <w:t xml:space="preserve"> los datos obtenidos por esa vía, no solo revocar el acceso.</w:t>
      </w:r>
    </w:p>
    <w:p>
      <w:pPr>
        <w:spacing w:after="90" w:line="288"/>
        <w:ind w:left="520" w:hanging="340"/>
        <w:jc w:val="both"/>
      </w:pPr>
      <w:r>
        <w:rPr>
          <w:b/>
          <w:bCs/>
        </w:rPr>
        <w:t xml:space="preserve">4.	</w:t>
      </w:r>
      <w:r>
        <w:rPr>
          <w:b/>
          <w:bCs/>
        </w:rPr>
        <w:t xml:space="preserve">Retención acotada.</w:t>
      </w:r>
      <w:r>
        <w:t xml:space="preserve"> Definir y documentar por cuánto tiempo se conservan los registros de uso.</w:t>
      </w:r>
    </w:p>
    <w:p>
      <w:pPr>
        <w:spacing w:after="90" w:line="288"/>
        <w:ind w:left="520" w:hanging="340"/>
        <w:jc w:val="both"/>
      </w:pPr>
      <w:r>
        <w:rPr>
          <w:b/>
          <w:bCs/>
        </w:rPr>
        <w:t xml:space="preserve">5.	</w:t>
      </w:r>
      <w:r>
        <w:rPr>
          <w:b/>
          <w:bCs/>
        </w:rPr>
        <w:t xml:space="preserve">Aislamiento verificable.</w:t>
      </w:r>
      <w:r>
        <w:t xml:space="preserve"> El multi-tenancy de </w:t>
      </w:r>
      <w:r>
        <w:rPr>
          <w:rFonts w:ascii="Consolas" w:cs="Consolas" w:eastAsia="Consolas" w:hAnsi="Consolas"/>
        </w:rPr>
        <w:t xml:space="preserve">shared/tenant</w:t>
      </w:r>
      <w:r>
        <w:t xml:space="preserve"> deja de ser solo una decisión técnica: es la medida que impide que los datos de un hogar sean accesibles a otro.</w:t>
      </w:r>
    </w:p>
    <w:p>
      <w:pPr>
        <w:pStyle w:val="Heading4"/>
        <w:spacing w:after="90" w:before="200"/>
      </w:pPr>
      <w:r>
        <w:rPr>
          <w:b/>
          <w:bCs/>
          <w:color w:val="2E5395"/>
          <w:sz w:val="21"/>
          <w:szCs w:val="21"/>
        </w:rPr>
        <w:t xml:space="preserve">⚠️ Una obligación que ya aplica hoy</w:t>
      </w:r>
    </w:p>
    <w:p>
      <w:pPr>
        <w:spacing w:after="140" w:line="300"/>
        <w:jc w:val="both"/>
      </w:pPr>
      <w:r>
        <w:t xml:space="preserve">La planilla de la encuesta contiene </w:t>
      </w:r>
      <w:r>
        <w:rPr>
          <w:b/>
          <w:bCs/>
        </w:rPr>
        <w:t xml:space="preserve">16 correos electrónicos</w:t>
      </w:r>
      <w:r>
        <w:t xml:space="preserve"> de personas que se ofrecieron a probar la aplicación. Eso constituye tratamiento de datos personales, con independencia de que el software aún no exista.</w:t>
      </w:r>
    </w:p>
    <w:p>
      <w:pPr>
        <w:spacing w:after="140" w:line="300"/>
        <w:jc w:val="both"/>
      </w:pPr>
      <w:r>
        <w:t xml:space="preserve">Medidas adoptadas:</w:t>
      </w:r>
    </w:p>
    <w:p>
      <w:pPr>
        <w:spacing w:after="80" w:line="288"/>
        <w:ind w:left="460" w:hanging="240"/>
        <w:jc w:val="both"/>
      </w:pPr>
      <w:r>
        <w:t xml:space="preserve">—	</w:t>
      </w:r>
      <w:r>
        <w:t xml:space="preserve">La carpeta </w:t>
      </w:r>
      <w:r>
        <w:rPr>
          <w:rFonts w:ascii="Consolas" w:cs="Consolas" w:eastAsia="Consolas" w:hAnsi="Consolas"/>
        </w:rPr>
        <w:t xml:space="preserve">docs/</w:t>
      </w:r>
      <w:r>
        <w:t xml:space="preserve"> está excluida del repositorio público (ver </w:t>
      </w:r>
      <w:r>
        <w:rPr>
          <w:rFonts w:ascii="Consolas" w:cs="Consolas" w:eastAsia="Consolas" w:hAnsi="Consolas"/>
        </w:rPr>
        <w:t xml:space="preserve">.gitignore</w:t>
      </w:r>
      <w:r>
        <w:t xml:space="preserve">)</w:t>
      </w:r>
    </w:p>
    <w:p>
      <w:pPr>
        <w:spacing w:after="80" w:line="288"/>
        <w:ind w:left="460" w:hanging="240"/>
        <w:jc w:val="both"/>
      </w:pPr>
      <w:r>
        <w:t xml:space="preserve">—	</w:t>
      </w:r>
      <w:r>
        <w:t xml:space="preserve">Esos correos se usan </w:t>
      </w:r>
      <w:r>
        <w:rPr>
          <w:b/>
          <w:bCs/>
        </w:rPr>
        <w:t xml:space="preserve">únicamente</w:t>
      </w:r>
      <w:r>
        <w:t xml:space="preserve"> para el fin declarado al recogerlos</w:t>
      </w:r>
    </w:p>
    <w:p>
      <w:pPr>
        <w:spacing w:after="80" w:line="288"/>
        <w:ind w:left="460" w:hanging="240"/>
        <w:jc w:val="both"/>
      </w:pPr>
      <w:r>
        <w:t xml:space="preserve">—	</w:t>
      </w:r>
      <w:r>
        <w:t xml:space="preserve">Deben eliminarse al término del proyecto si no se concreta la invitación</w:t>
      </w:r>
    </w:p>
    <w:p>
      <w:pPr>
        <w:pStyle w:val="Heading4"/>
        <w:spacing w:after="90" w:before="200"/>
      </w:pPr>
      <w:r>
        <w:rPr>
          <w:b/>
          <w:bCs/>
          <w:color w:val="2E5395"/>
          <w:sz w:val="21"/>
          <w:szCs w:val="21"/>
        </w:rPr>
        <w:t xml:space="preserve">Fuentes consultadas</w:t>
      </w:r>
    </w:p>
    <w:p>
      <w:pPr>
        <w:spacing w:after="140" w:line="300"/>
        <w:jc w:val="both"/>
      </w:pPr>
      <w:r>
        <w:t xml:space="preserve">Todas verificadas el </w:t>
      </w:r>
      <w:r>
        <w:rPr>
          <w:b/>
          <w:bCs/>
        </w:rPr>
        <w:t xml:space="preserve">26 de agosto de 2026</w:t>
      </w:r>
      <w:r>
        <w:t xml:space="preserve">. Las condiciones comerciales y los plazos regulatorios cambian: </w:t>
      </w:r>
      <w:r>
        <w:rPr>
          <w:b/>
          <w:bCs/>
        </w:rPr>
        <w:t xml:space="preserve">reverificar antes de la entrega final.</w:t>
      </w:r>
    </w:p>
    <w:p>
      <w:pPr>
        <w:spacing w:after="80" w:line="288"/>
        <w:ind w:left="460" w:hanging="240"/>
        <w:jc w:val="both"/>
      </w:pPr>
      <w:r>
        <w:t xml:space="preserve">—	</w:t>
      </w:r>
      <w:r>
        <w:t xml:space="preserve">CMF — </w:t>
      </w:r>
      <w:hyperlink w:history="1" r:id="rIdpnhfbe22ptduhthpjfs9s">
        <w:r>
          <w:rPr>
            <w:color w:val="2E5395"/>
            <w:u w:val="single"/>
          </w:rPr>
          <w:t xml:space="preserve">Norma que regula el Sistema de Finanzas Abiertas</w:t>
        </w:r>
      </w:hyperlink>
    </w:p>
    <w:p>
      <w:pPr>
        <w:spacing w:after="80" w:line="288"/>
        <w:ind w:left="460" w:hanging="240"/>
        <w:jc w:val="both"/>
      </w:pPr>
      <w:r>
        <w:t xml:space="preserve">—	</w:t>
      </w:r>
      <w:r>
        <w:t xml:space="preserve">CMF — </w:t>
      </w:r>
      <w:hyperlink w:history="1" r:id="rIdp8nxvnvpjeanmqqf3szbb">
        <w:r>
          <w:rPr>
            <w:color w:val="2E5395"/>
            <w:u w:val="single"/>
          </w:rPr>
          <w:t xml:space="preserve">Consulta pública sobre modificaciones al SFA</w:t>
        </w:r>
      </w:hyperlink>
    </w:p>
    <w:p>
      <w:pPr>
        <w:spacing w:after="80" w:line="288"/>
        <w:ind w:left="460" w:hanging="240"/>
        <w:jc w:val="both"/>
      </w:pPr>
      <w:r>
        <w:t xml:space="preserve">—	</w:t>
      </w:r>
      <w:r>
        <w:t xml:space="preserve">CMF — </w:t>
      </w:r>
      <w:hyperlink w:history="1" r:id="rIdkqgh1rwh2voiaz6cx4g_i">
        <w:r>
          <w:rPr>
            <w:color w:val="2E5395"/>
            <w:u w:val="single"/>
          </w:rPr>
          <w:t xml:space="preserve">Claves de la actualización de la NCG 514 (PDF)</w:t>
        </w:r>
      </w:hyperlink>
    </w:p>
    <w:p>
      <w:pPr>
        <w:spacing w:after="80" w:line="288"/>
        <w:ind w:left="460" w:hanging="240"/>
        <w:jc w:val="both"/>
      </w:pPr>
      <w:r>
        <w:t xml:space="preserve">—	</w:t>
      </w:r>
      <w:r>
        <w:t xml:space="preserve">Cuatrecasas — </w:t>
      </w:r>
      <w:hyperlink w:history="1" r:id="rIdnbktznjgqro1durkw0eka">
        <w:r>
          <w:rPr>
            <w:color w:val="2E5395"/>
            <w:u w:val="single"/>
          </w:rPr>
          <w:t xml:space="preserve">NCG 569 y reglas técnicas del SFA</w:t>
        </w:r>
      </w:hyperlink>
    </w:p>
    <w:p>
      <w:pPr>
        <w:spacing w:after="80" w:line="288"/>
        <w:ind w:left="460" w:hanging="240"/>
        <w:jc w:val="both"/>
      </w:pPr>
      <w:r>
        <w:t xml:space="preserve">—	</w:t>
      </w:r>
      <w:r>
        <w:t xml:space="preserve">Carey — </w:t>
      </w:r>
      <w:hyperlink w:history="1" r:id="rId6cilc8qoynsys1y8qcfmq">
        <w:r>
          <w:rPr>
            <w:color w:val="2E5395"/>
            <w:u w:val="single"/>
          </w:rPr>
          <w:t xml:space="preserve">Propuesta que posterga 12 meses la entrada en vigencia del SFA</w:t>
        </w:r>
      </w:hyperlink>
    </w:p>
    <w:p>
      <w:pPr>
        <w:spacing w:after="80" w:line="288"/>
        <w:ind w:left="460" w:hanging="240"/>
        <w:jc w:val="both"/>
      </w:pPr>
      <w:r>
        <w:t xml:space="preserve">—	</w:t>
      </w:r>
      <w:r>
        <w:t xml:space="preserve">Fintoc — </w:t>
      </w:r>
      <w:hyperlink w:history="1" r:id="rIdrtin7kgro2_oj0cfjycg2">
        <w:r>
          <w:rPr>
            <w:color w:val="2E5395"/>
            <w:u w:val="single"/>
          </w:rPr>
          <w:t xml:space="preserve">Tarifas y comisiones</w:t>
        </w:r>
      </w:hyperlink>
    </w:p>
    <w:p>
      <w:pPr>
        <w:spacing w:after="80" w:line="288"/>
        <w:ind w:left="460" w:hanging="240"/>
        <w:jc w:val="both"/>
      </w:pPr>
      <w:r>
        <w:t xml:space="preserve">—	</w:t>
      </w:r>
      <w:r>
        <w:t xml:space="preserve">Belvo — </w:t>
      </w:r>
      <w:hyperlink w:history="1" r:id="rIdlluw0iebe1s8dkouzbqdk">
        <w:r>
          <w:rPr>
            <w:color w:val="2E5395"/>
            <w:u w:val="single"/>
          </w:rPr>
          <w:t xml:space="preserve">Planes y precios</w:t>
        </w:r>
      </w:hyperlink>
    </w:p>
    <w:p>
      <w:pPr>
        <w:spacing w:after="80" w:line="288"/>
        <w:ind w:left="460" w:hanging="240"/>
        <w:jc w:val="both"/>
      </w:pPr>
      <w:r>
        <w:t xml:space="preserve">—	</w:t>
      </w:r>
      <w:r>
        <w:t xml:space="preserve">Belvo — </w:t>
      </w:r>
      <w:hyperlink w:history="1" r:id="rId-ineul75igbdyqhagqzdm">
        <w:r>
          <w:rPr>
            <w:color w:val="2E5395"/>
            <w:u w:val="single"/>
          </w:rPr>
          <w:t xml:space="preserve">Documentación del sandbox</w:t>
        </w:r>
      </w:hyperlink>
    </w:p>
    <w:p>
      <w:pPr>
        <w:spacing w:after="80" w:line="288"/>
        <w:ind w:left="460" w:hanging="240"/>
        <w:jc w:val="both"/>
      </w:pPr>
      <w:r>
        <w:t xml:space="preserve">—	</w:t>
      </w:r>
      <w:r>
        <w:t xml:space="preserve">Thomson Reuters — </w:t>
      </w:r>
      <w:hyperlink w:history="1" r:id="rId9ghg9sg_lbpcy4co0fm53">
        <w:r>
          <w:rPr>
            <w:color w:val="2E5395"/>
            <w:u w:val="single"/>
          </w:rPr>
          <w:t xml:space="preserve">Ley 21.719 y la reconstrucción del derecho chileno de protección de datos</w:t>
        </w:r>
      </w:hyperlink>
    </w:p>
    <w:p>
      <w:pPr>
        <w:spacing w:after="80" w:line="288"/>
        <w:ind w:left="460" w:hanging="240"/>
        <w:jc w:val="both"/>
      </w:pPr>
      <w:r>
        <w:t xml:space="preserve">—	</w:t>
      </w:r>
      <w:r>
        <w:t xml:space="preserve">Confirmer360 — </w:t>
      </w:r>
      <w:hyperlink w:history="1" r:id="rId33eghvbp50qgjevkiezo7">
        <w:r>
          <w:rPr>
            <w:color w:val="2E5395"/>
            <w:u w:val="single"/>
          </w:rPr>
          <w:t xml:space="preserve">Ley 21.719 en banca y servicios financieros</w:t>
        </w:r>
      </w:hyperlink>
    </w:p>
    <w:p>
      <w:pPr>
        <w:spacing w:after="80" w:line="288"/>
        <w:ind w:left="460" w:hanging="240"/>
        <w:jc w:val="both"/>
      </w:pPr>
      <w:r>
        <w:t xml:space="preserve">—	</w:t>
      </w:r>
      <w:r>
        <w:t xml:space="preserve">Valor de la UF al 26-08-2026 — </w:t>
      </w:r>
      <w:hyperlink w:history="1" r:id="rIdgqn7ogvhdnhwxgftf2cai">
        <w:r>
          <w:rPr>
            <w:color w:val="2E5395"/>
            <w:u w:val="single"/>
          </w:rPr>
          <w:t xml:space="preserve">calcular.cl</w:t>
        </w:r>
      </w:hyperlink>
    </w:p>
    <w:p>
      <w:pPr>
        <w:pStyle w:val="Heading2"/>
        <w:pageBreakBefore/>
        <w:spacing w:after="140" w:before="300"/>
      </w:pPr>
      <w:r>
        <w:rPr>
          <w:b/>
          <w:bCs/>
          <w:color w:val="1F3864"/>
          <w:sz w:val="26"/>
          <w:szCs w:val="26"/>
        </w:rPr>
        <w:t xml:space="preserve">3.6 ADR-006 · Dos clientes: aplicación móvil y aplicación web</w:t>
      </w:r>
    </w:p>
    <w:p>
      <w:pPr>
        <w:spacing w:after="140" w:line="300"/>
        <w:jc w:val="both"/>
      </w:pPr>
      <w:r>
        <w:rPr>
          <w:b/>
          <w:bCs/>
        </w:rPr>
        <w:t xml:space="preserve">Fecha:</w:t>
      </w:r>
      <w:r>
        <w:t xml:space="preserve"> 2026-08-31 · </w:t>
      </w:r>
      <w:r>
        <w:rPr>
          <w:b/>
          <w:bCs/>
        </w:rPr>
        <w:t xml:space="preserve">Estado:</w:t>
      </w:r>
      <w:r>
        <w:t xml:space="preserve"> aceptada </w:t>
      </w:r>
      <w:r>
        <w:rPr>
          <w:b/>
          <w:bCs/>
        </w:rPr>
        <w:t xml:space="preserve">Sustituye la decisión previa de un único cliente web responsive</w:t>
      </w:r>
    </w:p>
    <w:p>
      <w:pPr>
        <w:pStyle w:val="Heading4"/>
        <w:spacing w:after="90" w:before="200"/>
      </w:pPr>
      <w:r>
        <w:rPr>
          <w:b/>
          <w:bCs/>
          <w:color w:val="2E5395"/>
          <w:sz w:val="21"/>
          <w:szCs w:val="21"/>
        </w:rPr>
        <w:t xml:space="preserve">Contexto</w:t>
      </w:r>
    </w:p>
    <w:p>
      <w:pPr>
        <w:spacing w:after="140" w:line="300"/>
        <w:jc w:val="both"/>
      </w:pPr>
      <w:r>
        <w:t xml:space="preserve">El ramo exige la entrega de una </w:t>
      </w:r>
      <w:r>
        <w:rPr>
          <w:b/>
          <w:bCs/>
        </w:rPr>
        <w:t xml:space="preserve">aplicación móvil</w:t>
      </w:r>
      <w:r>
        <w:t xml:space="preserve">. La decisión anterior —una sola aplicación web responsive que cubriera computador y celular— no satisface ese requisito.</w:t>
      </w:r>
    </w:p>
    <w:p>
      <w:pPr>
        <w:spacing w:after="140" w:line="300"/>
        <w:jc w:val="both"/>
      </w:pPr>
      <w:r>
        <w:t xml:space="preserve">Se define además construir </w:t>
      </w:r>
      <w:r>
        <w:rPr>
          <w:b/>
          <w:bCs/>
        </w:rPr>
        <w:t xml:space="preserve">ambos clientes</w:t>
      </w:r>
      <w:r>
        <w:t xml:space="preserve">: aplicación móvil y aplicación web.</w:t>
      </w:r>
    </w:p>
    <w:p>
      <w:pPr>
        <w:spacing w:after="140" w:line="300"/>
        <w:jc w:val="both"/>
      </w:pPr>
      <w:r>
        <w:t xml:space="preserve">Datos de la encuesta que condicionan la decisión:</w:t>
      </w:r>
    </w:p>
    <w:p>
      <w:pPr>
        <w:spacing w:after="80" w:line="288"/>
        <w:ind w:left="460" w:hanging="240"/>
        <w:jc w:val="both"/>
      </w:pPr>
      <w:r>
        <w:t xml:space="preserve">—	</w:t>
      </w:r>
      <w:r>
        <w:t xml:space="preserve">El </w:t>
      </w:r>
      <w:r>
        <w:rPr>
          <w:b/>
          <w:bCs/>
        </w:rPr>
        <w:t xml:space="preserve">84,2%</w:t>
      </w:r>
      <w:r>
        <w:t xml:space="preserve"> de los encuestados utilizaría la solución en el teléfono móvil</w:t>
      </w:r>
    </w:p>
    <w:p>
      <w:pPr>
        <w:spacing w:after="80" w:line="288"/>
        <w:ind w:left="460" w:hanging="240"/>
        <w:jc w:val="both"/>
      </w:pPr>
      <w:r>
        <w:t xml:space="preserve">—	</w:t>
      </w:r>
      <w:r>
        <w:t xml:space="preserve">El </w:t>
      </w:r>
      <w:r>
        <w:rPr>
          <w:b/>
          <w:bCs/>
        </w:rPr>
        <w:t xml:space="preserve">47,4%</w:t>
      </w:r>
      <w:r>
        <w:t xml:space="preserve"> en computador</w:t>
      </w:r>
    </w:p>
    <w:p>
      <w:pPr>
        <w:spacing w:after="80" w:line="288"/>
        <w:ind w:left="460" w:hanging="240"/>
        <w:jc w:val="both"/>
      </w:pPr>
      <w:r>
        <w:t xml:space="preserve">—	</w:t>
      </w:r>
      <w:r>
        <w:t xml:space="preserve">La funcionalidad más demandada es el </w:t>
      </w:r>
      <w:r>
        <w:rPr>
          <w:b/>
          <w:bCs/>
        </w:rPr>
        <w:t xml:space="preserve">aviso previo a cada cobro (76,3%)</w:t>
      </w:r>
      <w:r>
        <w:t xml:space="preserve">, seguida por el aviso de término de prueba gratuita (60,5%)</w:t>
      </w:r>
    </w:p>
    <w:p>
      <w:pPr>
        <w:pStyle w:val="Heading4"/>
        <w:spacing w:after="90" w:before="200"/>
      </w:pPr>
      <w:r>
        <w:rPr>
          <w:b/>
          <w:bCs/>
          <w:color w:val="2E5395"/>
          <w:sz w:val="21"/>
          <w:szCs w:val="21"/>
        </w:rPr>
        <w:t xml:space="preserve">Decisión</w:t>
      </w:r>
    </w:p>
    <w:p>
      <w:pPr>
        <w:spacing w:after="140" w:line="300"/>
        <w:jc w:val="both"/>
      </w:pPr>
      <w:r>
        <w:rPr>
          <w:b/>
          <w:bCs/>
        </w:rPr>
        <w:t xml:space="preserve">Dos clientes que consumen la misma API, con funcionalidades repartidas según el contexto de uso.</w:t>
      </w:r>
      <w:r>
        <w:t xml:space="preserve"> No se construye la misma aplicación dos veces.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186"/>
        <w:gridCol w:w="5010"/>
        <w:gridCol w:w="3164"/>
      </w:tblGrid>
      <w:tr>
        <w:trPr>
          <w:tblHeader/>
        </w:trPr>
        <w:tc>
          <w:tcPr>
            <w:tcW w:type="dxa" w:w="1186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Cliente</w:t>
            </w:r>
          </w:p>
        </w:tc>
        <w:tc>
          <w:tcPr>
            <w:tcW w:type="dxa" w:w="5010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Tecnología</w:t>
            </w:r>
          </w:p>
        </w:tc>
        <w:tc>
          <w:tcPr>
            <w:tcW w:type="dxa" w:w="3164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Distribución</w:t>
            </w:r>
          </w:p>
        </w:tc>
      </w:tr>
      <w:tr>
        <w:trPr>
          <w:tblHeader w:val="false"/>
        </w:trPr>
        <w:tc>
          <w:tcPr>
            <w:tcW w:type="dxa" w:w="118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Móvil</w:t>
            </w:r>
          </w:p>
        </w:tc>
        <w:tc>
          <w:tcPr>
            <w:tcW w:type="dxa" w:w="50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React Native con Expo</w:t>
            </w:r>
            <w:r>
              <w:rPr>
                <w:b w:val="false"/>
                <w:bCs w:val="false"/>
                <w:sz w:val="19"/>
                <w:szCs w:val="19"/>
              </w:rPr>
              <w:t xml:space="preserve"> (TypeScript)</w:t>
            </w:r>
          </w:p>
        </w:tc>
        <w:tc>
          <w:tcPr>
            <w:tcW w:type="dxa" w:w="31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APK de Android</w:t>
            </w:r>
          </w:p>
        </w:tc>
      </w:tr>
      <w:tr>
        <w:trPr>
          <w:tblHeader w:val="false"/>
        </w:trPr>
        <w:tc>
          <w:tcPr>
            <w:tcW w:type="dxa" w:w="118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Web</w:t>
            </w:r>
          </w:p>
        </w:tc>
        <w:tc>
          <w:tcPr>
            <w:tcW w:type="dxa" w:w="50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React con Vite</w:t>
            </w:r>
            <w:r>
              <w:rPr>
                <w:b w:val="false"/>
                <w:bCs w:val="false"/>
                <w:sz w:val="19"/>
                <w:szCs w:val="19"/>
              </w:rPr>
              <w:t xml:space="preserve"> (TypeScript)</w:t>
            </w:r>
          </w:p>
        </w:tc>
        <w:tc>
          <w:tcPr>
            <w:tcW w:type="dxa" w:w="31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Desplegada en el clúster</w:t>
            </w:r>
          </w:p>
        </w:tc>
      </w:tr>
    </w:tbl>
    <w:p>
      <w:pPr>
        <w:spacing w:after="200"/>
      </w:pPr>
    </w:p>
    <w:p>
      <w:pPr>
        <w:pStyle w:val="Heading4"/>
        <w:spacing w:after="90" w:before="200"/>
      </w:pPr>
      <w:r>
        <w:rPr>
          <w:b/>
          <w:bCs/>
          <w:color w:val="2E5395"/>
          <w:sz w:val="21"/>
          <w:szCs w:val="21"/>
        </w:rPr>
        <w:t xml:space="preserve">Reparto de funcionalidades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328"/>
        <w:gridCol w:w="2016"/>
        <w:gridCol w:w="2016"/>
      </w:tblGrid>
      <w:tr>
        <w:trPr>
          <w:tblHeader/>
        </w:trPr>
        <w:tc>
          <w:tcPr>
            <w:tcW w:type="dxa" w:w="5328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Funcionalidad</w:t>
            </w:r>
          </w:p>
        </w:tc>
        <w:tc>
          <w:tcPr>
            <w:tcW w:type="dxa" w:w="2016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Móvil</w:t>
            </w:r>
          </w:p>
        </w:tc>
        <w:tc>
          <w:tcPr>
            <w:tcW w:type="dxa" w:w="2016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Web</w:t>
            </w:r>
          </w:p>
        </w:tc>
      </w:tr>
      <w:tr>
        <w:trPr>
          <w:tblHeader w:val="false"/>
        </w:trPr>
        <w:tc>
          <w:tcPr>
            <w:tcW w:type="dxa" w:w="53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Panel de gastos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Vista resumida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Vista completa</w:t>
            </w:r>
          </w:p>
        </w:tc>
      </w:tr>
      <w:tr>
        <w:trPr>
          <w:tblHeader w:val="false"/>
        </w:trPr>
        <w:tc>
          <w:tcPr>
            <w:tcW w:type="dxa" w:w="53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Notificaciones push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Exclusivo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3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Registrar suscripción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</w:tr>
      <w:tr>
        <w:trPr>
          <w:tblHeader w:val="false"/>
        </w:trPr>
        <w:tc>
          <w:tcPr>
            <w:tcW w:type="dxa" w:w="53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Marcar uso manual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3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Conectar cuentas externas (OAuth)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Exclusivo</w:t>
            </w:r>
          </w:p>
        </w:tc>
      </w:tr>
      <w:tr>
        <w:trPr>
          <w:tblHeader w:val="false"/>
        </w:trPr>
        <w:tc>
          <w:tcPr>
            <w:tcW w:type="dxa" w:w="53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Importar CSV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</w:tr>
      <w:tr>
        <w:trPr>
          <w:tblHeader w:val="false"/>
        </w:trPr>
        <w:tc>
          <w:tcPr>
            <w:tcW w:type="dxa" w:w="53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Gestionar integrantes del hogar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</w:tr>
      <w:tr>
        <w:trPr>
          <w:tblHeader w:val="false"/>
        </w:trPr>
        <w:tc>
          <w:tcPr>
            <w:tcW w:type="dxa" w:w="53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Recomendaciones e informes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Resumen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Detalle</w:t>
            </w:r>
          </w:p>
        </w:tc>
      </w:tr>
    </w:tbl>
    <w:p>
      <w:pPr>
        <w:spacing w:after="200"/>
      </w:pPr>
    </w:p>
    <w:p>
      <w:pPr>
        <w:pStyle w:val="Heading4"/>
        <w:spacing w:after="90" w:before="200"/>
      </w:pPr>
      <w:r>
        <w:rPr>
          <w:b/>
          <w:bCs/>
          <w:color w:val="2E5395"/>
          <w:sz w:val="21"/>
          <w:szCs w:val="21"/>
        </w:rPr>
        <w:t xml:space="preserve">Código compartido</w:t>
      </w:r>
    </w:p>
    <w:p>
      <w:pPr>
        <w:spacing w:after="140" w:line="300"/>
        <w:jc w:val="both"/>
      </w:pPr>
      <w:r>
        <w:t xml:space="preserve">Ambos clientes están escritos en TypeScript, por lo que comparten un paquete real y no solamente un contrato:</w:t>
      </w:r>
    </w:p>
    <w:p>
      <w:pPr>
        <w:spacing w:after="140" w:line="300"/>
        <w:jc w:val="both"/>
      </w:pPr>
      <w:r>
        <w:t xml:space="preserve">``</w:t>
      </w:r>
      <w:r>
        <w:rPr>
          <w:rFonts w:ascii="Consolas" w:cs="Consolas" w:eastAsia="Consolas" w:hAnsi="Consolas"/>
        </w:rPr>
        <w:t xml:space="preserve"> frontend/ ├─ shared/      cliente de API generado desde OpenAPI, │               tipos, validaciones y lógica de presentación │               (formato de montos, cálculo de días al próximo cobro) ├─ web/         React + Vite └─ movil/       React Native + Expo </w:t>
      </w:r>
      <w:r>
        <w:t xml:space="preserve">``</w:t>
      </w:r>
    </w:p>
    <w:p>
      <w:pPr>
        <w:spacing w:after="140" w:line="300"/>
        <w:jc w:val="both"/>
      </w:pPr>
      <w:r>
        <w:t xml:space="preserve">El backend expone su esquema mediante </w:t>
      </w:r>
      <w:r>
        <w:rPr>
          <w:rFonts w:ascii="Consolas" w:cs="Consolas" w:eastAsia="Consolas" w:hAnsi="Consolas"/>
        </w:rPr>
        <w:t xml:space="preserve">drf-spectacular</w:t>
      </w:r>
      <w:r>
        <w:t xml:space="preserve">; de ahí se genera el cliente TypeScript que ambas aplicaciones importan. Un cambio de contrato en el backend se detecta al compilar, en los dos clientes, y no en ejecución.</w:t>
      </w:r>
    </w:p>
    <w:p>
      <w:pPr>
        <w:pStyle w:val="Heading4"/>
        <w:spacing w:after="90" w:before="200"/>
      </w:pPr>
      <w:r>
        <w:rPr>
          <w:b/>
          <w:bCs/>
          <w:color w:val="2E5395"/>
          <w:sz w:val="21"/>
          <w:szCs w:val="21"/>
        </w:rPr>
        <w:t xml:space="preserve">Justificación</w:t>
      </w:r>
    </w:p>
    <w:p>
      <w:pPr>
        <w:pStyle w:val="Heading4"/>
        <w:spacing w:after="90" w:before="200"/>
      </w:pPr>
      <w:r>
        <w:rPr>
          <w:b/>
          <w:bCs/>
          <w:color w:val="2E5395"/>
          <w:sz w:val="21"/>
          <w:szCs w:val="21"/>
        </w:rPr>
        <w:t xml:space="preserve">Por qué el reparto por contexto y no funcionalidad duplicada</w:t>
      </w:r>
    </w:p>
    <w:p>
      <w:pPr>
        <w:spacing w:after="140" w:line="300"/>
        <w:jc w:val="both"/>
      </w:pPr>
      <w:r>
        <w:t xml:space="preserve">Duplicar toda la funcionalidad implica construir dos veces la capa que más horas consume del proyecto. El reparto por contexto reduce el trabajo total y responde a cómo se usa realmente cada dispositivo.</w:t>
      </w:r>
    </w:p>
    <w:p>
      <w:pPr>
        <w:spacing w:after="140" w:line="300"/>
        <w:jc w:val="both"/>
      </w:pPr>
      <w:r>
        <w:rPr>
          <w:b/>
          <w:bCs/>
        </w:rPr>
        <w:t xml:space="preserve">Notificaciones push exclusivas del móvil.</w:t>
      </w:r>
      <w:r>
        <w:t xml:space="preserve"> Es la capacidad que una aplicación nativa aporta y una web no entrega con fiabilidad. Coincide con la funcionalidad más demandada del estudio.</w:t>
      </w:r>
    </w:p>
    <w:p>
      <w:pPr>
        <w:spacing w:after="140" w:line="300"/>
        <w:jc w:val="both"/>
      </w:pPr>
      <w:r>
        <w:rPr>
          <w:b/>
          <w:bCs/>
        </w:rPr>
        <w:t xml:space="preserve">OAuth exclusivo de la web.</w:t>
      </w:r>
      <w:r>
        <w:t xml:space="preserve"> Vincular una cuenta externa desde móvil exige *deep linking*, mecanismo frágil y costoso en tiempo de desarrollo. En web es un redireccionamiento convencional. El usuario vincula sus cuentas una vez, en una sesión de configuración, y luego opera desde el teléfono en el día a día. La decisión simplifica la implementación </w:t>
      </w:r>
      <w:r>
        <w:rPr>
          <w:b/>
          <w:bCs/>
        </w:rPr>
        <w:t xml:space="preserve">y</w:t>
      </w:r>
      <w:r>
        <w:t xml:space="preserve"> coincide con el comportamiento real.</w:t>
      </w:r>
    </w:p>
    <w:p>
      <w:pPr>
        <w:pStyle w:val="Heading4"/>
        <w:spacing w:after="90" w:before="200"/>
      </w:pPr>
      <w:r>
        <w:rPr>
          <w:b/>
          <w:bCs/>
          <w:color w:val="2E5395"/>
          <w:sz w:val="21"/>
          <w:szCs w:val="21"/>
        </w:rPr>
        <w:t xml:space="preserve">Por qué React Native y no Flutter</w:t>
      </w:r>
    </w:p>
    <w:p>
      <w:pPr>
        <w:spacing w:after="140" w:line="300"/>
        <w:jc w:val="both"/>
      </w:pPr>
      <w:r>
        <w:t xml:space="preserve">Se evaluó Flutter como alternativa. Se descartó por tres razones acumulativas:</w:t>
      </w:r>
    </w:p>
    <w:p>
      <w:pPr>
        <w:spacing w:after="90" w:line="288"/>
        <w:ind w:left="520" w:hanging="340"/>
        <w:jc w:val="both"/>
      </w:pPr>
      <w:r>
        <w:rPr>
          <w:b/>
          <w:bCs/>
        </w:rPr>
        <w:t xml:space="preserve">1.	</w:t>
      </w:r>
      <w:r>
        <w:rPr>
          <w:b/>
          <w:bCs/>
        </w:rPr>
        <w:t xml:space="preserve">Un solo lenguaje en todo el frontend.</w:t>
      </w:r>
      <w:r>
        <w:t xml:space="preserve"> El equipo ya trabaja con React y TypeScript en el cliente web. React Native conserva el lenguaje, los conceptos y el razonamiento. Flutter implicaría incorporar Dart, nuevo para todos los integrantes, dentro del mismo semestre.</w:t>
      </w:r>
    </w:p>
    <w:p>
      <w:pPr>
        <w:spacing w:after="90" w:line="288"/>
        <w:ind w:left="520" w:hanging="340"/>
        <w:jc w:val="both"/>
      </w:pPr>
      <w:r>
        <w:rPr>
          <w:b/>
          <w:bCs/>
        </w:rPr>
        <w:t xml:space="preserve">2.	</w:t>
      </w:r>
      <w:r>
        <w:rPr>
          <w:b/>
          <w:bCs/>
        </w:rPr>
        <w:t xml:space="preserve">Código efectivamente compartido.</w:t>
      </w:r>
      <w:r>
        <w:t xml:space="preserve"> Con ambos clientes en TypeScript, el paquete </w:t>
      </w:r>
      <w:r>
        <w:rPr>
          <w:rFonts w:ascii="Consolas" w:cs="Consolas" w:eastAsia="Consolas" w:hAnsi="Consolas"/>
        </w:rPr>
        <w:t xml:space="preserve">shared</w:t>
      </w:r>
      <w:r>
        <w:t xml:space="preserve"> contiene código ejecutable —cliente de API, tipos, validaciones, formateo— y no únicamente un contrato del que cada lado genera su propia versión. Con Flutter esa reutilización no existe.</w:t>
      </w:r>
    </w:p>
    <w:p>
      <w:pPr>
        <w:spacing w:after="90" w:line="288"/>
        <w:ind w:left="520" w:hanging="340"/>
        <w:jc w:val="both"/>
      </w:pPr>
      <w:r>
        <w:rPr>
          <w:b/>
          <w:bCs/>
        </w:rPr>
        <w:t xml:space="preserve">3.	</w:t>
      </w:r>
      <w:r>
        <w:rPr>
          <w:b/>
          <w:bCs/>
        </w:rPr>
        <w:t xml:space="preserve">Movilidad dentro del equipo.</w:t>
      </w:r>
      <w:r>
        <w:t xml:space="preserve"> Quien desarrolla la web puede apoyar el móvil y viceversa. Con dos lenguajes distintos, cada persona queda encerrada en su cliente, lo que es un riesgo real en un equipo de seis con plazos fijos.</w:t>
      </w:r>
    </w:p>
    <w:p>
      <w:pPr>
        <w:pStyle w:val="Heading4"/>
        <w:spacing w:after="90" w:before="200"/>
      </w:pPr>
      <w:r>
        <w:rPr>
          <w:b/>
          <w:bCs/>
          <w:color w:val="2E5395"/>
          <w:sz w:val="21"/>
          <w:szCs w:val="21"/>
        </w:rPr>
        <w:t xml:space="preserve">Por qué Expo</w:t>
      </w:r>
    </w:p>
    <w:p>
      <w:pPr>
        <w:spacing w:after="140" w:line="300"/>
        <w:jc w:val="both"/>
      </w:pPr>
      <w:r>
        <w:t xml:space="preserve">React Native sin Expo requiere que cada integrante instale y configure Android Studio, el SDK de Android, Java y Gradle. Es una fuente conocida de pérdida de tiempo y falla de manera distinta en cada máquina.</w:t>
      </w:r>
    </w:p>
    <w:p>
      <w:pPr>
        <w:spacing w:after="140" w:line="300"/>
        <w:jc w:val="both"/>
      </w:pPr>
      <w:r>
        <w:t xml:space="preserve">Expo elimina esa barrera:</w:t>
      </w:r>
    </w:p>
    <w:p>
      <w:pPr>
        <w:spacing w:after="80" w:line="288"/>
        <w:ind w:left="460" w:hanging="240"/>
        <w:jc w:val="both"/>
      </w:pPr>
      <w:r>
        <w:t xml:space="preserve">—	</w:t>
      </w:r>
      <w:r>
        <w:t xml:space="preserve">La aplicación se ejecuta </w:t>
      </w:r>
      <w:r>
        <w:rPr>
          <w:b/>
          <w:bCs/>
        </w:rPr>
        <w:t xml:space="preserve">en el teléfono real mediante un código QR</w:t>
      </w:r>
      <w:r>
        <w:t xml:space="preserve">, sin emulador ni entorno nativo instalado</w:t>
      </w:r>
    </w:p>
    <w:p>
      <w:pPr>
        <w:spacing w:after="80" w:line="288"/>
        <w:ind w:left="460" w:hanging="240"/>
        <w:jc w:val="both"/>
      </w:pPr>
      <w:r>
        <w:t xml:space="preserve">—	</w:t>
      </w:r>
      <w:r>
        <w:t xml:space="preserve">La compilación del APK ocurre en la nube, sin toolchain local</w:t>
      </w:r>
    </w:p>
    <w:p>
      <w:pPr>
        <w:spacing w:after="80" w:line="288"/>
        <w:ind w:left="460" w:hanging="240"/>
        <w:jc w:val="both"/>
      </w:pPr>
      <w:r>
        <w:t xml:space="preserve">—	</w:t>
      </w:r>
      <w:r>
        <w:t xml:space="preserve">Incorpora los módulos que el proyecto necesita: notificaciones push (</w:t>
      </w:r>
      <w:r>
        <w:rPr>
          <w:rFonts w:ascii="Consolas" w:cs="Consolas" w:eastAsia="Consolas" w:hAnsi="Consolas"/>
        </w:rPr>
        <w:t xml:space="preserve">expo-notifications</w:t>
      </w:r>
      <w:r>
        <w:t xml:space="preserve">), almacenamiento seguro de credenciales (</w:t>
      </w:r>
      <w:r>
        <w:rPr>
          <w:rFonts w:ascii="Consolas" w:cs="Consolas" w:eastAsia="Consolas" w:hAnsi="Consolas"/>
        </w:rPr>
        <w:t xml:space="preserve">expo-secure-store</w:t>
      </w:r>
      <w:r>
        <w:t xml:space="preserve">) y sesión de autorización (</w:t>
      </w:r>
      <w:r>
        <w:rPr>
          <w:rFonts w:ascii="Consolas" w:cs="Consolas" w:eastAsia="Consolas" w:hAnsi="Consolas"/>
        </w:rPr>
        <w:t xml:space="preserve">expo-auth-session</w:t>
      </w:r>
      <w:r>
        <w:t xml:space="preserve">)</w:t>
      </w:r>
    </w:p>
    <w:p>
      <w:pPr>
        <w:pStyle w:val="Heading4"/>
        <w:spacing w:after="90" w:before="200"/>
      </w:pPr>
      <w:r>
        <w:rPr>
          <w:b/>
          <w:bCs/>
          <w:color w:val="2E5395"/>
          <w:sz w:val="21"/>
          <w:szCs w:val="21"/>
        </w:rPr>
        <w:t xml:space="preserve">Por qué no una sola aplicación para ambas plataformas</w:t>
      </w:r>
    </w:p>
    <w:p>
      <w:pPr>
        <w:spacing w:after="140" w:line="300"/>
        <w:jc w:val="both"/>
      </w:pPr>
      <w:r>
        <w:t xml:space="preserve">Se descartó usar React Native Web para cubrir también el navegador. El resultado se comporta como una aplicación móvil ampliada, con un modelo de accesibilidad y un rendimiento de carga inferiores a los de una web convencional. Para un panel de escritorio con tablas e importación de archivos, React con Vite es más adecuado.</w:t>
      </w:r>
    </w:p>
    <w:p>
      <w:pPr>
        <w:pStyle w:val="Heading4"/>
        <w:spacing w:after="90" w:before="200"/>
      </w:pPr>
      <w:r>
        <w:rPr>
          <w:b/>
          <w:bCs/>
          <w:color w:val="2E5395"/>
          <w:sz w:val="21"/>
          <w:szCs w:val="21"/>
        </w:rPr>
        <w:t xml:space="preserve">Consecuencias</w:t>
      </w:r>
    </w:p>
    <w:p>
      <w:pPr>
        <w:spacing w:after="140" w:line="300"/>
        <w:jc w:val="both"/>
      </w:pPr>
      <w:r>
        <w:rPr>
          <w:b/>
          <w:bCs/>
        </w:rPr>
        <w:t xml:space="preserve">Positivas</w:t>
      </w:r>
    </w:p>
    <w:p>
      <w:pPr>
        <w:spacing w:after="80" w:line="288"/>
        <w:ind w:left="460" w:hanging="240"/>
        <w:jc w:val="both"/>
      </w:pPr>
      <w:r>
        <w:t xml:space="preserve">—	</w:t>
      </w:r>
      <w:r>
        <w:t xml:space="preserve">Se satisface el requisito del ramo</w:t>
      </w:r>
    </w:p>
    <w:p>
      <w:pPr>
        <w:spacing w:after="80" w:line="288"/>
        <w:ind w:left="460" w:hanging="240"/>
        <w:jc w:val="both"/>
      </w:pPr>
      <w:r>
        <w:t xml:space="preserve">—	</w:t>
      </w:r>
      <w:r>
        <w:t xml:space="preserve">Las notificaciones push refuerzan la propuesta de valor central del producto</w:t>
      </w:r>
    </w:p>
    <w:p>
      <w:pPr>
        <w:spacing w:after="80" w:line="288"/>
        <w:ind w:left="460" w:hanging="240"/>
        <w:jc w:val="both"/>
      </w:pPr>
      <w:r>
        <w:t xml:space="preserve">—	</w:t>
      </w:r>
      <w:r>
        <w:t xml:space="preserve">Un solo lenguaje en todo el frontend, con código realmente compartido</w:t>
      </w:r>
    </w:p>
    <w:p>
      <w:pPr>
        <w:spacing w:after="80" w:line="288"/>
        <w:ind w:left="460" w:hanging="240"/>
        <w:jc w:val="both"/>
      </w:pPr>
      <w:r>
        <w:t xml:space="preserve">—	</w:t>
      </w:r>
      <w:r>
        <w:t xml:space="preserve">El contrato con la API queda verificado por el compilador en ambos clientes</w:t>
      </w:r>
    </w:p>
    <w:p>
      <w:pPr>
        <w:spacing w:after="80" w:line="288"/>
        <w:ind w:left="460" w:hanging="240"/>
        <w:jc w:val="both"/>
      </w:pPr>
      <w:r>
        <w:t xml:space="preserve">—	</w:t>
      </w:r>
      <w:r>
        <w:t xml:space="preserve">La complejidad del OAuth queda contenida en un solo cliente</w:t>
      </w:r>
    </w:p>
    <w:p>
      <w:pPr>
        <w:spacing w:after="140" w:line="300"/>
        <w:jc w:val="both"/>
      </w:pPr>
      <w:r>
        <w:rPr>
          <w:b/>
          <w:bCs/>
        </w:rPr>
        <w:t xml:space="preserve">Negativas — asumidas conscientemente</w:t>
      </w:r>
    </w:p>
    <w:p>
      <w:pPr>
        <w:spacing w:after="80" w:line="288"/>
        <w:ind w:left="460" w:hanging="240"/>
        <w:jc w:val="both"/>
      </w:pPr>
      <w:r>
        <w:t xml:space="preserve">—	</w:t>
      </w:r>
      <w:r>
        <w:t xml:space="preserve">Dos bases de código de interfaz que mantener</w:t>
      </w:r>
    </w:p>
    <w:p>
      <w:pPr>
        <w:spacing w:after="80" w:line="288"/>
        <w:ind w:left="460" w:hanging="240"/>
        <w:jc w:val="both"/>
      </w:pPr>
      <w:r>
        <w:t xml:space="preserve">—	</w:t>
      </w:r>
      <w:r>
        <w:t xml:space="preserve">Dos procesos de despliegue distintos: la web al clúster, el móvil como archivo distribuible</w:t>
      </w:r>
    </w:p>
    <w:p>
      <w:pPr>
        <w:spacing w:after="80" w:line="288"/>
        <w:ind w:left="460" w:hanging="240"/>
        <w:jc w:val="both"/>
      </w:pPr>
      <w:r>
        <w:t xml:space="preserve">—	</w:t>
      </w:r>
      <w:r>
        <w:t xml:space="preserve">React Native introduce diferencias respecto de React web —navegación, estilos, componentes— que requieren aprendizaje aunque el lenguaje sea el mismo</w:t>
      </w:r>
    </w:p>
    <w:p>
      <w:pPr>
        <w:pStyle w:val="Heading4"/>
        <w:spacing w:after="90" w:before="200"/>
      </w:pPr>
      <w:r>
        <w:rPr>
          <w:b/>
          <w:bCs/>
          <w:color w:val="2E5395"/>
          <w:sz w:val="21"/>
          <w:szCs w:val="21"/>
        </w:rPr>
        <w:t xml:space="preserve">Limitación declarada: solo Android</w:t>
      </w:r>
    </w:p>
    <w:p>
      <w:pPr>
        <w:spacing w:after="140" w:line="300"/>
        <w:jc w:val="both"/>
      </w:pPr>
      <w:r>
        <w:t xml:space="preserve">La entrega se realiza como </w:t>
      </w:r>
      <w:r>
        <w:rPr>
          <w:b/>
          <w:bCs/>
        </w:rPr>
        <w:t xml:space="preserve">archivo APK para Android</w:t>
      </w:r>
      <w:r>
        <w:t xml:space="preserve">. Se descarta iOS porque la distribución requiere una cuenta de Apple Developer de costo anual, no contemplada en el presupuesto del proyecto.</w:t>
      </w:r>
    </w:p>
    <w:p>
      <w:pPr>
        <w:spacing w:after="140" w:line="300"/>
        <w:jc w:val="both"/>
      </w:pPr>
      <w:r>
        <w:t xml:space="preserve">Debe declararse explícitamente en el informe como limitación de alcance.</w:t>
      </w:r>
    </w:p>
    <w:p>
      <w:pPr>
        <w:pStyle w:val="Heading4"/>
        <w:spacing w:after="90" w:before="200"/>
      </w:pPr>
      <w:r>
        <w:rPr>
          <w:b/>
          <w:bCs/>
          <w:color w:val="2E5395"/>
          <w:sz w:val="21"/>
          <w:szCs w:val="21"/>
        </w:rPr>
        <w:t xml:space="preserve">Notificaciones push</w:t>
      </w:r>
    </w:p>
    <w:p>
      <w:pPr>
        <w:spacing w:after="140" w:line="300"/>
        <w:jc w:val="both"/>
      </w:pPr>
      <w:r>
        <w:t xml:space="preserve">El envío se realiza mediante el </w:t>
      </w:r>
      <w:r>
        <w:rPr>
          <w:b/>
          <w:bCs/>
        </w:rPr>
        <w:t xml:space="preserve">servicio de notificaciones de Expo</w:t>
      </w:r>
      <w:r>
        <w:t xml:space="preserve">. El servicio </w:t>
      </w:r>
      <w:r>
        <w:rPr>
          <w:rFonts w:ascii="Consolas" w:cs="Consolas" w:eastAsia="Consolas" w:hAnsi="Consolas"/>
        </w:rPr>
        <w:t xml:space="preserve">notifications</w:t>
      </w:r>
      <w:r>
        <w:t xml:space="preserve"> pasa a gestionar </w:t>
      </w:r>
      <w:r>
        <w:rPr>
          <w:b/>
          <w:bCs/>
        </w:rPr>
        <w:t xml:space="preserve">dos canales de salida</w:t>
      </w:r>
      <w:r>
        <w:t xml:space="preserve">: correo electrónico y push.</w:t>
      </w:r>
    </w:p>
    <w:p>
      <w:pPr>
        <w:pBdr>
          <w:left w:val="single" w:color="1F3864" w:sz="12" w:space="10"/>
        </w:pBdr>
        <w:spacing w:after="160" w:before="130" w:line="276"/>
        <w:ind w:left="340"/>
        <w:jc w:val="both"/>
      </w:pPr>
      <w:r>
        <w:rPr>
          <w:sz w:val="20"/>
          <w:szCs w:val="20"/>
        </w:rPr>
        <w:t xml:space="preserve">⚠️ </w:t>
      </w:r>
      <w:r>
        <w:rPr>
          <w:b/>
          <w:bCs/>
          <w:sz w:val="20"/>
          <w:szCs w:val="20"/>
        </w:rPr>
        <w:t xml:space="preserve">El push nunca es el único canal.</w:t>
      </w:r>
      <w:r>
        <w:rPr>
          <w:sz w:val="20"/>
          <w:szCs w:val="20"/>
        </w:rPr>
        <w:t xml:space="preserve"> Si el usuario no tiene la aplicación instalada, o la entrega falla, la alerta se envía igualmente por correo. La funcionalidad no depende de que el dispositivo esté disponible.</w:t>
      </w:r>
    </w:p>
    <w:p>
      <w:pPr>
        <w:pStyle w:val="Heading4"/>
        <w:spacing w:after="90" w:before="200"/>
      </w:pPr>
      <w:r>
        <w:rPr>
          <w:b/>
          <w:bCs/>
          <w:color w:val="2E5395"/>
          <w:sz w:val="21"/>
          <w:szCs w:val="21"/>
        </w:rPr>
        <w:t xml:space="preserve">Plan de contingencia</w:t>
      </w:r>
    </w:p>
    <w:p>
      <w:pPr>
        <w:pBdr>
          <w:left w:val="single" w:color="BF9000" w:sz="14" w:space="12"/>
        </w:pBdr>
        <w:shd w:fill="FFF2CC" w:color="auto" w:val="clear"/>
        <w:spacing w:after="160" w:before="160" w:line="300"/>
        <w:ind w:left="300" w:right="300"/>
        <w:jc w:val="both"/>
      </w:pPr>
      <w:r>
        <w:rPr>
          <w:b/>
          <w:bCs/>
          <w:sz w:val="21"/>
          <w:szCs w:val="21"/>
        </w:rPr>
        <w:t xml:space="preserve">Si a mitad del semestre el avance no permite completar ambos clientes, </w:t>
      </w:r>
      <w:r>
        <w:rPr>
          <w:b/>
          <w:bCs/>
          <w:sz w:val="21"/>
          <w:szCs w:val="21"/>
        </w:rPr>
        <w:t xml:space="preserve">se recorta la aplicación web</w:t>
      </w:r>
      <w:r>
        <w:rPr>
          <w:b/>
          <w:bCs/>
          <w:sz w:val="21"/>
          <w:szCs w:val="21"/>
        </w:rPr>
        <w:t xml:space="preserve">, no la móvil.</w:t>
      </w:r>
    </w:p>
    <w:p>
      <w:pPr>
        <w:spacing w:after="140" w:line="300"/>
        <w:jc w:val="both"/>
      </w:pPr>
      <w:r>
        <w:t xml:space="preserve">Fundamento: la aplicación móvil es requisito del ramo, y el 84,2% de los encuestados declara que utilizaría la solución en el teléfono.</w:t>
      </w:r>
    </w:p>
    <w:p>
      <w:pPr>
        <w:spacing w:after="140" w:line="300"/>
        <w:jc w:val="both"/>
      </w:pPr>
      <w:r>
        <w:t xml:space="preserve">Esta decisión se toma </w:t>
      </w:r>
      <w:r>
        <w:rPr>
          <w:b/>
          <w:bCs/>
        </w:rPr>
        <w:t xml:space="preserve">por anticipado y por escrito</w:t>
      </w:r>
      <w:r>
        <w:t xml:space="preserve">, de modo que no deba discutirse bajo presión de plazo.</w:t>
      </w:r>
    </w:p>
    <w:p>
      <w:pPr>
        <w:pStyle w:val="Heading4"/>
        <w:spacing w:after="90" w:before="200"/>
      </w:pPr>
      <w:r>
        <w:rPr>
          <w:b/>
          <w:bCs/>
          <w:color w:val="2E5395"/>
          <w:sz w:val="21"/>
          <w:szCs w:val="21"/>
        </w:rPr>
        <w:t xml:space="preserve">Impacto sobre decisiones anteriores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524"/>
        <w:gridCol w:w="6836"/>
      </w:tblGrid>
      <w:tr>
        <w:trPr>
          <w:tblHeader/>
        </w:trPr>
        <w:tc>
          <w:tcPr>
            <w:tcW w:type="dxa" w:w="2524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Documento</w:t>
            </w:r>
          </w:p>
        </w:tc>
        <w:tc>
          <w:tcPr>
            <w:tcW w:type="dxa" w:w="6836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Cambio</w:t>
            </w:r>
          </w:p>
        </w:tc>
      </w:tr>
      <w:tr>
        <w:trPr>
          <w:tblHeader w:val="false"/>
        </w:trPr>
        <w:tc>
          <w:tcPr>
            <w:tcW w:type="dxa" w:w="25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ADR-001</w:t>
            </w:r>
          </w:p>
        </w:tc>
        <w:tc>
          <w:tcPr>
            <w:tcW w:type="dxa" w:w="68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Sin cambios. La arquitectura de microservicios no se ve afectada</w:t>
            </w:r>
          </w:p>
        </w:tc>
      </w:tr>
      <w:tr>
        <w:trPr>
          <w:tblHeader w:val="false"/>
        </w:trPr>
        <w:tc>
          <w:tcPr>
            <w:tcW w:type="dxa" w:w="25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ADR-004</w:t>
            </w:r>
          </w:p>
        </w:tc>
        <w:tc>
          <w:tcPr>
            <w:tcW w:type="dxa" w:w="68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Sin cambios. Ambos clientes se autentican contra el mismo gateway</w:t>
            </w:r>
          </w:p>
        </w:tc>
      </w:tr>
      <w:tr>
        <w:trPr>
          <w:tblHeader w:val="false"/>
        </w:trPr>
        <w:tc>
          <w:tcPr>
            <w:tcW w:type="dxa" w:w="25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CU-12, CU-13</w:t>
            </w:r>
          </w:p>
        </w:tc>
        <w:tc>
          <w:tcPr>
            <w:tcW w:type="dxa" w:w="68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El flujo OAuth se restringe al cliente web</w:t>
            </w:r>
          </w:p>
        </w:tc>
      </w:tr>
      <w:tr>
        <w:trPr>
          <w:tblHeader w:val="false"/>
        </w:trPr>
        <w:tc>
          <w:tcPr>
            <w:tcW w:type="dxa" w:w="25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CU-23, CU-24</w:t>
            </w:r>
          </w:p>
        </w:tc>
        <w:tc>
          <w:tcPr>
            <w:tcW w:type="dxa" w:w="68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Las notificaciones incorporan el canal push además del correo</w:t>
            </w:r>
          </w:p>
        </w:tc>
      </w:tr>
      <w:tr>
        <w:trPr>
          <w:tblHeader w:val="false"/>
        </w:trPr>
        <w:tc>
          <w:tcPr>
            <w:tcW w:type="dxa" w:w="25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Servicio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68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Gestiona dos canales de salida</w:t>
            </w:r>
          </w:p>
        </w:tc>
      </w:tr>
    </w:tbl>
    <w:p>
      <w:pPr>
        <w:spacing w:after="200"/>
      </w:pPr>
    </w:p>
    <w:p>
      <w:pPr>
        <w:pStyle w:val="Heading1"/>
        <w:pageBreakBefore/>
        <w:spacing w:after="200" w:before="380"/>
      </w:pPr>
      <w:r>
        <w:rPr>
          <w:b/>
          <w:bCs/>
          <w:color w:val="1F3864"/>
          <w:sz w:val="32"/>
          <w:szCs w:val="32"/>
        </w:rPr>
        <w:t xml:space="preserve">4. Trazabilidad y mantención</w:t>
      </w:r>
    </w:p>
    <w:p>
      <w:pPr>
        <w:spacing w:after="140" w:line="300"/>
        <w:jc w:val="both"/>
      </w:pPr>
      <w:r>
        <w:t xml:space="preserve">Los archivos fuente de este documento residen en el repositorio del proyecto y constituyen la versión autoritativa. Este documento es una consolidación para efectos de entrega.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716"/>
        <w:gridCol w:w="5644"/>
      </w:tblGrid>
      <w:tr>
        <w:trPr>
          <w:tblHeader/>
        </w:trPr>
        <w:tc>
          <w:tcPr>
            <w:tcW w:type="dxa" w:w="3716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Artefacto</w:t>
            </w:r>
          </w:p>
        </w:tc>
        <w:tc>
          <w:tcPr>
            <w:tcW w:type="dxa" w:w="5644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Ubicación</w:t>
            </w:r>
          </w:p>
        </w:tc>
      </w:tr>
      <w:tr>
        <w:trPr>
          <w:tblHeader w:val="false"/>
        </w:trPr>
        <w:tc>
          <w:tcPr>
            <w:tcW w:type="dxa" w:w="37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Decisiones de arquitectura</w:t>
            </w:r>
          </w:p>
        </w:tc>
        <w:tc>
          <w:tcPr>
            <w:tcW w:type="dxa" w:w="56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docs/arquitectura/ADR-*.md</w:t>
            </w:r>
          </w:p>
        </w:tc>
      </w:tr>
      <w:tr>
        <w:trPr>
          <w:tblHeader w:val="false"/>
        </w:trPr>
        <w:tc>
          <w:tcPr>
            <w:tcW w:type="dxa" w:w="37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Diagramas (fuente editable)</w:t>
            </w:r>
          </w:p>
        </w:tc>
        <w:tc>
          <w:tcPr>
            <w:tcW w:type="dxa" w:w="56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docs/diagramas/*.puml</w:t>
            </w:r>
          </w:p>
        </w:tc>
      </w:tr>
      <w:tr>
        <w:trPr>
          <w:tblHeader w:val="false"/>
        </w:trPr>
        <w:tc>
          <w:tcPr>
            <w:tcW w:type="dxa" w:w="37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Diagramas (imágenes)</w:t>
            </w:r>
          </w:p>
        </w:tc>
        <w:tc>
          <w:tcPr>
            <w:tcW w:type="dxa" w:w="56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docs/diagramas/png/</w:t>
            </w:r>
          </w:p>
        </w:tc>
      </w:tr>
      <w:tr>
        <w:trPr>
          <w:tblHeader w:val="false"/>
        </w:trPr>
        <w:tc>
          <w:tcPr>
            <w:tcW w:type="dxa" w:w="37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Script de renderizado</w:t>
            </w:r>
          </w:p>
        </w:tc>
        <w:tc>
          <w:tcPr>
            <w:tcW w:type="dxa" w:w="56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docs/diagramas/render.py</w:t>
            </w:r>
          </w:p>
        </w:tc>
      </w:tr>
      <w:tr>
        <w:trPr>
          <w:tblHeader w:val="false"/>
        </w:trPr>
        <w:tc>
          <w:tcPr>
            <w:tcW w:type="dxa" w:w="37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Glosario del dominio</w:t>
            </w:r>
          </w:p>
        </w:tc>
        <w:tc>
          <w:tcPr>
            <w:tcW w:type="dxa" w:w="56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docs/glosario.md</w:t>
            </w:r>
          </w:p>
        </w:tc>
      </w:tr>
      <w:tr>
        <w:trPr>
          <w:tblHeader w:val="false"/>
        </w:trPr>
        <w:tc>
          <w:tcPr>
            <w:tcW w:type="dxa" w:w="37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Modelo de casos de uso</w:t>
            </w:r>
          </w:p>
        </w:tc>
        <w:tc>
          <w:tcPr>
            <w:tcW w:type="dxa" w:w="56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docs/diagramas/casos-de-uso-narrativas.md</w:t>
            </w:r>
          </w:p>
        </w:tc>
      </w:tr>
    </w:tbl>
    <w:p>
      <w:pPr>
        <w:spacing w:after="200"/>
      </w:pPr>
    </w:p>
    <w:p>
      <w:pPr>
        <w:pBdr>
          <w:left w:val="single" w:color="1F3864" w:sz="12" w:space="10"/>
        </w:pBdr>
        <w:spacing w:after="160" w:before="130" w:line="276"/>
        <w:ind w:left="340"/>
        <w:jc w:val="both"/>
      </w:pPr>
      <w:r>
        <w:rPr>
          <w:sz w:val="20"/>
          <w:szCs w:val="20"/>
        </w:rPr>
        <w:t xml:space="preserve">⚠️ Los diagramas se generan a partir de sus archivos fuente mediante </w:t>
      </w:r>
      <w:r>
        <w:rPr>
          <w:rFonts w:ascii="Consolas" w:cs="Consolas" w:eastAsia="Consolas" w:hAnsi="Consolas"/>
          <w:sz w:val="20"/>
          <w:szCs w:val="20"/>
        </w:rPr>
        <w:t xml:space="preserve">render.py</w:t>
      </w:r>
      <w:r>
        <w:rPr>
          <w:sz w:val="20"/>
          <w:szCs w:val="20"/>
        </w:rPr>
        <w:t xml:space="preserve">. Al modificar un diagrama debe regenerarse la imagen y actualizarse este documento; de lo contrario, texto e imagen dejan de coincidir.</w:t>
      </w:r>
    </w:p>
    <w:p>
      <w:pPr>
        <w:pStyle w:val="Heading2"/>
        <w:spacing w:after="140" w:before="300"/>
      </w:pPr>
      <w:r>
        <w:rPr>
          <w:b/>
          <w:bCs/>
          <w:color w:val="1F3864"/>
          <w:sz w:val="26"/>
          <w:szCs w:val="26"/>
        </w:rPr>
        <w:t xml:space="preserve">4.1 Cómo registrar una decisión nueva</w:t>
      </w:r>
    </w:p>
    <w:p>
      <w:pPr>
        <w:spacing w:after="90" w:line="288"/>
        <w:ind w:left="520" w:hanging="340"/>
        <w:jc w:val="both"/>
      </w:pPr>
      <w:r>
        <w:rPr>
          <w:b/>
          <w:bCs/>
        </w:rPr>
        <w:t xml:space="preserve">1.	</w:t>
      </w:r>
      <w:r>
        <w:t xml:space="preserve">Crear `docs/arquitectura/ADR-00N-titulo-breve.md`, con N correlativo. Los identificadores no se reutilizan.</w:t>
      </w:r>
    </w:p>
    <w:p>
      <w:pPr>
        <w:spacing w:after="90" w:line="288"/>
        <w:ind w:left="520" w:hanging="340"/>
        <w:jc w:val="both"/>
      </w:pPr>
      <w:r>
        <w:rPr>
          <w:b/>
          <w:bCs/>
        </w:rPr>
        <w:t xml:space="preserve">2.	</w:t>
      </w:r>
      <w:r>
        <w:t xml:space="preserve">Seguir la estructura de contexto, decisión, justificación y consecuencias.</w:t>
      </w:r>
    </w:p>
    <w:p>
      <w:pPr>
        <w:spacing w:after="90" w:line="288"/>
        <w:ind w:left="520" w:hanging="340"/>
        <w:jc w:val="both"/>
      </w:pPr>
      <w:r>
        <w:rPr>
          <w:b/>
          <w:bCs/>
        </w:rPr>
        <w:t xml:space="preserve">3.	</w:t>
      </w:r>
      <w:r>
        <w:t xml:space="preserve">Declarar las consecuencias negativas. Si no se identifica ninguna, la decisión no fue analizada en profundidad.</w:t>
      </w:r>
    </w:p>
    <w:p>
      <w:pPr>
        <w:spacing w:after="90" w:line="288"/>
        <w:ind w:left="520" w:hanging="340"/>
        <w:jc w:val="both"/>
      </w:pPr>
      <w:r>
        <w:rPr>
          <w:b/>
          <w:bCs/>
        </w:rPr>
        <w:t xml:space="preserve">4.	</w:t>
      </w:r>
      <w:r>
        <w:t xml:space="preserve">Si sustituye a una decisión anterior, indicarlo en la cabecera de ambos documentos.</w:t>
      </w:r>
    </w:p>
    <w:p>
      <w:pPr>
        <w:spacing w:after="90" w:line="288"/>
        <w:ind w:left="520" w:hanging="340"/>
        <w:jc w:val="both"/>
      </w:pPr>
      <w:r>
        <w:rPr>
          <w:b/>
          <w:bCs/>
        </w:rPr>
        <w:t xml:space="preserve">5.	</w:t>
      </w:r>
      <w:r>
        <w:t xml:space="preserve">Actualizar los diagramas afectados y regenerar las imágenes.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pnhfbe22ptduhthpjfs9s" Type="http://schemas.openxmlformats.org/officeDocument/2006/relationships/hyperlink" Target="https://www.cmfchile.cl/portal/prensa/615/w3-article-82737.html" TargetMode="External"/><Relationship Id="rIdp8nxvnvpjeanmqqf3szbb" Type="http://schemas.openxmlformats.org/officeDocument/2006/relationships/hyperlink" Target="https://www.cmfchile.cl/portal/prensa/615/w3-article-100482.html" TargetMode="External"/><Relationship Id="rIdkqgh1rwh2voiaz6cx4g_i" Type="http://schemas.openxmlformats.org/officeDocument/2006/relationships/hyperlink" Target="https://www.cmfchile.cl/portal/principal/613/articles-100979_doc_pdf.pdf" TargetMode="External"/><Relationship Id="rIdnbktznjgqro1durkw0eka" Type="http://schemas.openxmlformats.org/officeDocument/2006/relationships/hyperlink" Target="https://www.cuatrecasas.com/es/latam/servicios-financieros-seguros/art/cmf-ncg-569-reglas-tecnicas-sistema-finanzas-abiertas" TargetMode="External"/><Relationship Id="rId6cilc8qoynsys1y8qcfmq" Type="http://schemas.openxmlformats.org/officeDocument/2006/relationships/hyperlink" Target="https://www.carey.cl/propuesta-normativa-de-la-cmf-a-la-ncg-n514-posterga-en-12-meses-la-entrada-en-vigencia-del-sistema-de-finanzas-abiertas-y-otorga-mayor-gradualidad-en-su-implementacion" TargetMode="External"/><Relationship Id="rIdrtin7kgro2_oj0cfjycg2" Type="http://schemas.openxmlformats.org/officeDocument/2006/relationships/hyperlink" Target="https://fintoc.com/cl" TargetMode="External"/><Relationship Id="rIdlluw0iebe1s8dkouzbqdk" Type="http://schemas.openxmlformats.org/officeDocument/2006/relationships/hyperlink" Target="https://belvo.com/plans-and-pricing/" TargetMode="External"/><Relationship Id="rId-ineul75igbdyqhagqzdm" Type="http://schemas.openxmlformats.org/officeDocument/2006/relationships/hyperlink" Target="https://developers.belvo.com/apis/belvoopenapispec/section/introduction/sandbox" TargetMode="External"/><Relationship Id="rId9ghg9sg_lbpcy4co0fm53" Type="http://schemas.openxmlformats.org/officeDocument/2006/relationships/hyperlink" Target="https://www.thomsonreuters.cl/es-cl/soluciones-juridicas/biblioteca-contenido-legal/ley-21719-y-la-reconstruccion-del-derecho-chileno-de-proteccion-de-datos-personales" TargetMode="External"/><Relationship Id="rId33eghvbp50qgjevkiezo7" Type="http://schemas.openxmlformats.org/officeDocument/2006/relationships/hyperlink" Target="https://confirmer360.com/guias/ley-21719-banca-financiero/" TargetMode="External"/><Relationship Id="rIdgqn7ogvhdnhwxgftf2cai" Type="http://schemas.openxmlformats.org/officeDocument/2006/relationships/hyperlink" Target="https://www.calcular.cl/valor-uf" TargetMode="External"/><Relationship Id="rId8" Type="http://schemas.openxmlformats.org/officeDocument/2006/relationships/image" Target="media/faf79e512c76dad405356d53dbd59a813c78ac9f.png"/><Relationship Id="rId9" Type="http://schemas.openxmlformats.org/officeDocument/2006/relationships/image" Target="media/8a5986101af624c046f4971462f1b9331fa66d7c.png"/><Relationship Id="rId10" Type="http://schemas.openxmlformats.org/officeDocument/2006/relationships/image" Target="media/7a676f832ac5b9ccdf232d3ea917d2fe741ad307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Arquitectura</dc:title>
  <dc:creator>Equipo de proyecto</dc:creator>
  <dc:description>Vistas del sistema y registro de decisiones de arquitectura</dc:description>
  <cp:lastModifiedBy>Un-named</cp:lastModifiedBy>
  <cp:revision>1</cp:revision>
  <dcterms:created xsi:type="dcterms:W3CDTF">2026-09-02T18:29:18.584Z</dcterms:created>
  <dcterms:modified xsi:type="dcterms:W3CDTF">2026-09-02T18:29:18.588Z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