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1513" w14:textId="77777777" w:rsidR="00F41FF7" w:rsidRDefault="00F41FF7">
      <w:pPr>
        <w:spacing w:before="2000"/>
      </w:pPr>
    </w:p>
    <w:p w14:paraId="2D4B7EE7" w14:textId="77777777" w:rsidR="00F41FF7" w:rsidRDefault="007C6CFC">
      <w:pPr>
        <w:spacing w:after="100"/>
        <w:jc w:val="center"/>
      </w:pPr>
      <w:r>
        <w:rPr>
          <w:b/>
          <w:bCs/>
          <w:color w:val="888888"/>
          <w:sz w:val="30"/>
          <w:szCs w:val="30"/>
        </w:rPr>
        <w:t>ADR-005</w:t>
      </w:r>
    </w:p>
    <w:p w14:paraId="44502747" w14:textId="77777777" w:rsidR="00F41FF7" w:rsidRDefault="007C6CFC">
      <w:pPr>
        <w:spacing w:after="130"/>
        <w:jc w:val="center"/>
      </w:pPr>
      <w:r>
        <w:rPr>
          <w:b/>
          <w:bCs/>
          <w:color w:val="1F3864"/>
          <w:sz w:val="42"/>
          <w:szCs w:val="42"/>
        </w:rPr>
        <w:t>ORIGEN DE LOS DATOS DE COBROS</w:t>
      </w:r>
    </w:p>
    <w:p w14:paraId="51FFB3F2" w14:textId="77777777" w:rsidR="00F41FF7" w:rsidRDefault="007C6CFC">
      <w:pPr>
        <w:spacing w:after="560"/>
        <w:jc w:val="center"/>
      </w:pPr>
      <w:r>
        <w:rPr>
          <w:color w:val="555555"/>
          <w:sz w:val="25"/>
          <w:szCs w:val="25"/>
        </w:rPr>
        <w:t>Investigación del ámbito financiero: acceso a datos de cobros en Chile</w:t>
      </w:r>
    </w:p>
    <w:p w14:paraId="59A72CFE" w14:textId="77777777" w:rsidR="00F41FF7" w:rsidRDefault="007C6CFC">
      <w:pPr>
        <w:spacing w:after="70"/>
        <w:jc w:val="center"/>
      </w:pPr>
      <w:r>
        <w:rPr>
          <w:b/>
          <w:bCs/>
          <w:sz w:val="21"/>
          <w:szCs w:val="21"/>
        </w:rPr>
        <w:t xml:space="preserve">Proyecto: </w:t>
      </w:r>
      <w:r>
        <w:rPr>
          <w:sz w:val="21"/>
          <w:szCs w:val="21"/>
        </w:rPr>
        <w:t>Plataforma de control de suscripciones de pago</w:t>
      </w:r>
    </w:p>
    <w:p w14:paraId="7D76038E" w14:textId="77777777" w:rsidR="00F41FF7" w:rsidRDefault="007C6CFC">
      <w:pPr>
        <w:spacing w:after="70"/>
        <w:jc w:val="center"/>
      </w:pPr>
      <w:r>
        <w:rPr>
          <w:b/>
          <w:bCs/>
          <w:sz w:val="21"/>
          <w:szCs w:val="21"/>
        </w:rPr>
        <w:t xml:space="preserve">Carrera: </w:t>
      </w:r>
      <w:r>
        <w:rPr>
          <w:sz w:val="21"/>
          <w:szCs w:val="21"/>
        </w:rPr>
        <w:t>Ingeniería Civil Informática</w:t>
      </w:r>
    </w:p>
    <w:p w14:paraId="33736562" w14:textId="77777777" w:rsidR="00F41FF7" w:rsidRDefault="007C6CFC">
      <w:pPr>
        <w:spacing w:after="70"/>
        <w:jc w:val="center"/>
      </w:pPr>
      <w:r>
        <w:rPr>
          <w:b/>
          <w:bCs/>
          <w:sz w:val="21"/>
          <w:szCs w:val="21"/>
        </w:rPr>
        <w:t xml:space="preserve">Institución: </w:t>
      </w:r>
      <w:r>
        <w:rPr>
          <w:sz w:val="21"/>
          <w:szCs w:val="21"/>
        </w:rPr>
        <w:t>Universidad Católica de Temuco</w:t>
      </w:r>
    </w:p>
    <w:p w14:paraId="6D0531BF" w14:textId="77777777" w:rsidR="00F41FF7" w:rsidRDefault="007C6CFC">
      <w:pPr>
        <w:spacing w:after="70"/>
        <w:jc w:val="center"/>
      </w:pPr>
      <w:r>
        <w:rPr>
          <w:b/>
          <w:bCs/>
          <w:sz w:val="21"/>
          <w:szCs w:val="21"/>
        </w:rPr>
        <w:t xml:space="preserve">Estado: </w:t>
      </w:r>
      <w:r>
        <w:rPr>
          <w:sz w:val="21"/>
          <w:szCs w:val="21"/>
        </w:rPr>
        <w:t>Aceptada</w:t>
      </w:r>
    </w:p>
    <w:p w14:paraId="7B5261B9" w14:textId="77777777" w:rsidR="00F41FF7" w:rsidRDefault="007C6CFC">
      <w:pPr>
        <w:spacing w:after="70"/>
        <w:jc w:val="center"/>
      </w:pPr>
      <w:r>
        <w:rPr>
          <w:b/>
          <w:bCs/>
          <w:sz w:val="21"/>
          <w:szCs w:val="21"/>
        </w:rPr>
        <w:t xml:space="preserve">Fecha: </w:t>
      </w:r>
      <w:r>
        <w:rPr>
          <w:sz w:val="21"/>
          <w:szCs w:val="21"/>
        </w:rPr>
        <w:t>26 de agosto de 2026</w:t>
      </w:r>
    </w:p>
    <w:p w14:paraId="227BE16E" w14:textId="77777777" w:rsidR="00F41FF7" w:rsidRDefault="007C6CFC">
      <w:r>
        <w:br w:type="page"/>
      </w:r>
    </w:p>
    <w:p w14:paraId="0584101B" w14:textId="77777777" w:rsidR="00F41FF7" w:rsidRDefault="007C6CFC">
      <w:pPr>
        <w:pStyle w:val="Ttulo1"/>
        <w:spacing w:before="380" w:after="200"/>
      </w:pPr>
      <w:bookmarkStart w:id="0" w:name="_Toc238835620"/>
      <w:r>
        <w:rPr>
          <w:b/>
          <w:bCs/>
          <w:color w:val="1F3864"/>
        </w:rPr>
        <w:lastRenderedPageBreak/>
        <w:t>Índice</w:t>
      </w:r>
      <w:bookmarkEnd w:id="0"/>
    </w:p>
    <w:sdt>
      <w:sdtPr>
        <w:alias w:val="Contenido"/>
        <w:id w:val="1919738775"/>
      </w:sdtPr>
      <w:sdtEndPr/>
      <w:sdtContent>
        <w:p w14:paraId="6426D644" w14:textId="7E389D0C" w:rsidR="00F53958" w:rsidRDefault="007C6CF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835620" w:history="1">
            <w:r w:rsidR="00F53958" w:rsidRPr="00097484">
              <w:rPr>
                <w:rStyle w:val="Hipervnculo"/>
                <w:b/>
                <w:bCs/>
                <w:noProof/>
              </w:rPr>
              <w:t>Índice</w:t>
            </w:r>
            <w:r w:rsidR="00F53958">
              <w:rPr>
                <w:noProof/>
              </w:rPr>
              <w:tab/>
            </w:r>
            <w:r w:rsidR="00F53958">
              <w:rPr>
                <w:noProof/>
              </w:rPr>
              <w:fldChar w:fldCharType="begin"/>
            </w:r>
            <w:r w:rsidR="00F53958">
              <w:rPr>
                <w:noProof/>
              </w:rPr>
              <w:instrText xml:space="preserve"> PAGEREF _Toc238835620 \h </w:instrText>
            </w:r>
            <w:r w:rsidR="00F53958">
              <w:rPr>
                <w:noProof/>
              </w:rPr>
            </w:r>
            <w:r w:rsidR="00F53958">
              <w:rPr>
                <w:noProof/>
              </w:rPr>
              <w:fldChar w:fldCharType="separate"/>
            </w:r>
            <w:r w:rsidR="00C4477E">
              <w:rPr>
                <w:noProof/>
              </w:rPr>
              <w:t>2</w:t>
            </w:r>
            <w:r w:rsidR="00F53958">
              <w:rPr>
                <w:noProof/>
              </w:rPr>
              <w:fldChar w:fldCharType="end"/>
            </w:r>
          </w:hyperlink>
        </w:p>
        <w:p w14:paraId="40F6E46A" w14:textId="0CCDF397" w:rsidR="00F53958" w:rsidRDefault="00F539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1" w:history="1">
            <w:r w:rsidRPr="00097484">
              <w:rPr>
                <w:rStyle w:val="Hipervnculo"/>
                <w:b/>
                <w:bCs/>
                <w:noProof/>
              </w:rPr>
              <w:t>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A59E0F" w14:textId="1E874646" w:rsidR="00F53958" w:rsidRDefault="00F539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2" w:history="1">
            <w:r w:rsidRPr="00097484">
              <w:rPr>
                <w:rStyle w:val="Hipervnculo"/>
                <w:b/>
                <w:bCs/>
                <w:noProof/>
              </w:rPr>
              <w:t>1. Las cuatro vías comparadas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AD8057" w14:textId="786010C1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3" w:history="1">
            <w:r w:rsidRPr="00097484">
              <w:rPr>
                <w:rStyle w:val="Hipervnculo"/>
                <w:b/>
                <w:bCs/>
                <w:noProof/>
              </w:rPr>
              <w:t>1.1 Entrada manual e importación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2149C0" w14:textId="123939EF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4" w:history="1">
            <w:r w:rsidRPr="00097484">
              <w:rPr>
                <w:rStyle w:val="Hipervnculo"/>
                <w:b/>
                <w:bCs/>
                <w:noProof/>
              </w:rPr>
              <w:t>1.2 Lectura de correo electrónico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16EA71" w14:textId="4536266E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5" w:history="1">
            <w:r w:rsidRPr="00097484">
              <w:rPr>
                <w:rStyle w:val="Hipervnculo"/>
                <w:b/>
                <w:bCs/>
                <w:noProof/>
              </w:rPr>
              <w:t>2.1 Fintoc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2CEAE4" w14:textId="7826421F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6" w:history="1">
            <w:r w:rsidRPr="00097484">
              <w:rPr>
                <w:rStyle w:val="Hipervnculo"/>
                <w:b/>
                <w:bCs/>
                <w:noProof/>
              </w:rPr>
              <w:t>2.2 Belvo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3BD2D1" w14:textId="5E3A330C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7" w:history="1">
            <w:r w:rsidRPr="00097484">
              <w:rPr>
                <w:rStyle w:val="Hipervnculo"/>
                <w:b/>
                <w:bCs/>
                <w:noProof/>
              </w:rPr>
              <w:t>2.3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137949" w14:textId="1EB9B44D" w:rsidR="00F53958" w:rsidRDefault="00F539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8" w:history="1">
            <w:r w:rsidRPr="00097484">
              <w:rPr>
                <w:rStyle w:val="Hipervnculo"/>
                <w:b/>
                <w:bCs/>
                <w:noProof/>
              </w:rPr>
              <w:t>3. Ley Fintech 21.521 y el Sistema de Finanzas Abiertas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20CBCC" w14:textId="1566DF84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29" w:history="1">
            <w:r w:rsidRPr="00097484">
              <w:rPr>
                <w:rStyle w:val="Hipervnculo"/>
                <w:b/>
                <w:bCs/>
                <w:noProof/>
              </w:rPr>
              <w:t>3.1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3728B2" w14:textId="6B713E2A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0" w:history="1">
            <w:r w:rsidRPr="00097484">
              <w:rPr>
                <w:rStyle w:val="Hipervnculo"/>
                <w:b/>
                <w:bCs/>
                <w:noProof/>
              </w:rPr>
              <w:t>3.2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2141D5" w14:textId="0218A57D" w:rsidR="00F53958" w:rsidRDefault="00F539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1" w:history="1">
            <w:r w:rsidRPr="00097484">
              <w:rPr>
                <w:rStyle w:val="Hipervnculo"/>
                <w:b/>
                <w:bCs/>
                <w:noProof/>
              </w:rPr>
              <w:t>4. Decisión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E743F3" w14:textId="0FAB7514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2" w:history="1">
            <w:r w:rsidRPr="00097484">
              <w:rPr>
                <w:rStyle w:val="Hipervnculo"/>
                <w:b/>
                <w:bCs/>
                <w:noProof/>
              </w:rPr>
              <w:t>4.1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268443" w14:textId="7114E38E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3" w:history="1">
            <w:r w:rsidRPr="00097484">
              <w:rPr>
                <w:rStyle w:val="Hipervnculo"/>
                <w:b/>
                <w:bCs/>
                <w:noProof/>
              </w:rPr>
              <w:t>4.2 Consecuencias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ACE704" w14:textId="1F3FFBE5" w:rsidR="00F53958" w:rsidRDefault="00F539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4" w:history="1">
            <w:r w:rsidRPr="00097484">
              <w:rPr>
                <w:rStyle w:val="Hipervnculo"/>
                <w:b/>
                <w:bCs/>
                <w:noProof/>
              </w:rPr>
              <w:t>5. Protección de datos: Ley 21.719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2754C7" w14:textId="007D9760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5" w:history="1">
            <w:r w:rsidRPr="00097484">
              <w:rPr>
                <w:rStyle w:val="Hipervnculo"/>
                <w:b/>
                <w:bCs/>
                <w:noProof/>
              </w:rPr>
              <w:t>5.1 Obligaciones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EC2557" w14:textId="3C32280B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6" w:history="1">
            <w:r w:rsidRPr="00097484">
              <w:rPr>
                <w:rStyle w:val="Hipervnculo"/>
                <w:b/>
                <w:bCs/>
                <w:noProof/>
              </w:rPr>
              <w:t>5.2 Consecuencias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616CA5" w14:textId="38263A92" w:rsidR="00F53958" w:rsidRDefault="00F539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7" w:history="1">
            <w:r w:rsidRPr="00097484">
              <w:rPr>
                <w:rStyle w:val="Hipervnculo"/>
                <w:b/>
                <w:bCs/>
                <w:noProof/>
              </w:rPr>
              <w:t>5.3 Una obligación de aplicación inmediata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91E150" w14:textId="33BC1FB9" w:rsidR="00F53958" w:rsidRDefault="00F539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35638" w:history="1">
            <w:r w:rsidRPr="00097484">
              <w:rPr>
                <w:rStyle w:val="Hipervnculo"/>
                <w:b/>
                <w:bCs/>
                <w:noProof/>
              </w:rPr>
              <w:t>Fuentes consultadas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_Toc238835638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4477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595A7A" w14:textId="067D9F12" w:rsidR="00F41FF7" w:rsidRDefault="007C6CFC">
          <w:r>
            <w:fldChar w:fldCharType="end"/>
          </w:r>
        </w:p>
      </w:sdtContent>
    </w:sdt>
    <w:p w14:paraId="4DF0AC26" w14:textId="77777777" w:rsidR="00F41FF7" w:rsidRDefault="007C6CFC">
      <w:pPr>
        <w:spacing w:after="140" w:line="300" w:lineRule="auto"/>
      </w:pPr>
      <w:r>
        <w:rPr>
          <w:i/>
          <w:iCs/>
          <w:color w:val="777777"/>
          <w:sz w:val="18"/>
          <w:szCs w:val="18"/>
        </w:rPr>
        <w:t>Para actualizar: clic derecho sobre el índice → Actualizar campos → Actualizar toda la tabla.</w:t>
      </w:r>
    </w:p>
    <w:p w14:paraId="2508FFA1" w14:textId="77777777" w:rsidR="00F41FF7" w:rsidRDefault="007C6CFC">
      <w:r>
        <w:br w:type="page"/>
      </w:r>
    </w:p>
    <w:p w14:paraId="65438473" w14:textId="77777777" w:rsidR="00F41FF7" w:rsidRDefault="007C6CFC">
      <w:pPr>
        <w:pStyle w:val="Ttulo1"/>
        <w:spacing w:before="380" w:after="200"/>
      </w:pPr>
      <w:bookmarkStart w:id="1" w:name="_Toc238835621"/>
      <w:r>
        <w:rPr>
          <w:b/>
          <w:bCs/>
          <w:color w:val="1F3864"/>
        </w:rPr>
        <w:lastRenderedPageBreak/>
        <w:t>Contexto</w:t>
      </w:r>
      <w:bookmarkEnd w:id="1"/>
    </w:p>
    <w:p w14:paraId="6A3D1C1F" w14:textId="77777777" w:rsidR="00F41FF7" w:rsidRDefault="007C6CFC">
      <w:pPr>
        <w:spacing w:after="140" w:line="300" w:lineRule="auto"/>
        <w:jc w:val="both"/>
      </w:pPr>
      <w:r>
        <w:t>La funcionalidad más demandada en la encuest</w:t>
      </w:r>
      <w:r>
        <w:t>a aplicada fue el aviso previo a cada cobro, señalada por el 76,3% de los encuestados (n = 38), seguida por la alerta ante el término de una prueba gratuita, con un 60,5%. Ambas exigen que el sistema conozca con antelación cuándo se producirá el cobro.</w:t>
      </w:r>
    </w:p>
    <w:p w14:paraId="456CC420" w14:textId="77777777" w:rsidR="00F41FF7" w:rsidRDefault="007C6CFC">
      <w:pPr>
        <w:spacing w:after="140" w:line="300" w:lineRule="auto"/>
        <w:jc w:val="both"/>
      </w:pPr>
      <w:r>
        <w:t>Ell</w:t>
      </w:r>
      <w:r>
        <w:t>o convierte el origen de los datos de cobro en una decisión de arquitectura y no en un detalle de implementación: sin una fuente de cobros no existe producto.</w:t>
      </w:r>
    </w:p>
    <w:p w14:paraId="78ACEAEB" w14:textId="77777777" w:rsidR="00F41FF7" w:rsidRDefault="007C6CFC">
      <w:pPr>
        <w:spacing w:after="140" w:line="300" w:lineRule="auto"/>
        <w:jc w:val="both"/>
      </w:pPr>
      <w:r>
        <w:t>Se evaluaron cuatro vías de obtención de dicha información.</w:t>
      </w:r>
    </w:p>
    <w:p w14:paraId="1CBD3DC6" w14:textId="77777777" w:rsidR="00F41FF7" w:rsidRDefault="007C6CFC">
      <w:pPr>
        <w:pStyle w:val="Ttulo1"/>
        <w:spacing w:before="380" w:after="200"/>
      </w:pPr>
      <w:bookmarkStart w:id="2" w:name="_Toc238835622"/>
      <w:r>
        <w:rPr>
          <w:b/>
          <w:bCs/>
          <w:color w:val="1F3864"/>
        </w:rPr>
        <w:t>1. Las cuatro vías comparadas</w:t>
      </w:r>
      <w:bookmarkEnd w:id="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500"/>
        <w:gridCol w:w="1500"/>
        <w:gridCol w:w="2360"/>
      </w:tblGrid>
      <w:tr w:rsidR="00F41FF7" w14:paraId="7B646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786E9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Vía</w:t>
            </w:r>
          </w:p>
        </w:tc>
        <w:tc>
          <w:tcPr>
            <w:tcW w:w="13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F520B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Costo</w:t>
            </w:r>
          </w:p>
        </w:tc>
        <w:tc>
          <w:tcPr>
            <w:tcW w:w="15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B28B8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Esfuerzo</w:t>
            </w:r>
          </w:p>
        </w:tc>
        <w:tc>
          <w:tcPr>
            <w:tcW w:w="15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5E193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Riesgo legal</w:t>
            </w:r>
          </w:p>
        </w:tc>
        <w:tc>
          <w:tcPr>
            <w:tcW w:w="236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BB039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Disponible en el semestre</w:t>
            </w:r>
          </w:p>
        </w:tc>
      </w:tr>
      <w:tr w:rsidR="00F41FF7" w14:paraId="0331D6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FB72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Entrada manual e importación CSV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5D85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Nulo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69D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3611A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Ninguno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E4A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41FF7" w14:paraId="6879CD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F3BA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Lectura de correo electrónico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F8129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Nulo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ABB1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Medio-alto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7455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C8728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Sí, con límites</w:t>
            </w:r>
          </w:p>
        </w:tc>
      </w:tr>
      <w:tr w:rsidR="00F41FF7" w14:paraId="408F00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B8A4D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Agregación bancaria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57ED8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FFA43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0B55C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A35C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Solo entorno de prueba</w:t>
            </w:r>
          </w:p>
        </w:tc>
      </w:tr>
      <w:tr w:rsidR="00F41FF7" w14:paraId="0B9447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74845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Sistema de Finanzas Abiertas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C4B3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D859E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BF109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Regulado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AE306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528ACFE8" w14:textId="77777777" w:rsidR="00F41FF7" w:rsidRDefault="007C6CFC">
      <w:pPr>
        <w:pStyle w:val="Ttulo2"/>
        <w:spacing w:before="300" w:after="140"/>
      </w:pPr>
      <w:bookmarkStart w:id="3" w:name="_Toc238835623"/>
      <w:r>
        <w:rPr>
          <w:b/>
          <w:bCs/>
          <w:color w:val="1F3864"/>
        </w:rPr>
        <w:t>1.1 Entrada manual e importación CSV</w:t>
      </w:r>
      <w:bookmarkEnd w:id="3"/>
    </w:p>
    <w:p w14:paraId="3256DAA3" w14:textId="77777777" w:rsidR="00F41FF7" w:rsidRDefault="007C6CFC">
      <w:pPr>
        <w:spacing w:after="140" w:line="300" w:lineRule="auto"/>
        <w:jc w:val="both"/>
      </w:pPr>
      <w:r>
        <w:t>No presenta costo, dependencias externas ni exposición regulatoria. Su debilidad es conocida: exige que el usuario mantenga la información actualizada.</w:t>
      </w:r>
    </w:p>
    <w:p w14:paraId="490E7382" w14:textId="77777777" w:rsidR="00F41FF7" w:rsidRDefault="007C6CFC">
      <w:pPr>
        <w:pBdr>
          <w:left w:val="single" w:sz="14" w:space="12" w:color="BF9000"/>
        </w:pBdr>
        <w:shd w:val="clear" w:color="auto" w:fill="FFF2CC"/>
        <w:spacing w:before="170" w:after="170" w:line="300" w:lineRule="auto"/>
        <w:ind w:left="300" w:right="300"/>
        <w:jc w:val="both"/>
      </w:pPr>
      <w:r>
        <w:rPr>
          <w:b/>
          <w:bCs/>
          <w:sz w:val="21"/>
          <w:szCs w:val="21"/>
        </w:rPr>
        <w:t>Constituye el piso obligatorio del sistema. Cualquier otra vía puede fallar —una interfaz externa deja d</w:t>
      </w:r>
      <w:r>
        <w:rPr>
          <w:b/>
          <w:bCs/>
          <w:sz w:val="21"/>
          <w:szCs w:val="21"/>
        </w:rPr>
        <w:t>e responder, un conector se desautoriza— y la aplicación debe seguir siendo utilizable. Ninguna funcionalidad debe depender exclusivamente de un conector.</w:t>
      </w:r>
    </w:p>
    <w:p w14:paraId="4A722954" w14:textId="77777777" w:rsidR="00F41FF7" w:rsidRDefault="007C6CFC">
      <w:pPr>
        <w:pStyle w:val="Ttulo2"/>
        <w:spacing w:before="300" w:after="140"/>
      </w:pPr>
      <w:bookmarkStart w:id="4" w:name="_Toc238835624"/>
      <w:r>
        <w:rPr>
          <w:b/>
          <w:bCs/>
          <w:color w:val="1F3864"/>
        </w:rPr>
        <w:t>1.2 Lectura de correo electrónico</w:t>
      </w:r>
      <w:bookmarkEnd w:id="4"/>
    </w:p>
    <w:p w14:paraId="18A852F6" w14:textId="77777777" w:rsidR="00F41FF7" w:rsidRDefault="007C6CFC">
      <w:pPr>
        <w:spacing w:after="140" w:line="300" w:lineRule="auto"/>
        <w:jc w:val="both"/>
      </w:pPr>
      <w:r>
        <w:t>Se aborda en detalle en la línea de trabajo correspondiente al cone</w:t>
      </w:r>
      <w:r>
        <w:t>ctor de correo. Para efectos de esta decisión, presenta dos restricciones relevantes:</w:t>
      </w:r>
    </w:p>
    <w:p w14:paraId="0C8359DF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Cobertura parcial. Detecta únicamente cobros de servicios que emiten comprobante por correo, y el formato de dichos comprobantes varía según el proveedor.</w:t>
      </w:r>
    </w:p>
    <w:p w14:paraId="261B83D3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Alcance restringido. La lectura del buzón constituye un permiso sensible para el proveedor de cor</w:t>
      </w:r>
      <w:r>
        <w:t>reo. Las aplicaciones en estado de prueba admiten un número acotado de usuarios sin proceso de verificación; su publicación abierta exige una evaluación de seguridad.</w:t>
      </w:r>
    </w:p>
    <w:p w14:paraId="089CF7E5" w14:textId="77777777" w:rsidR="00F41FF7" w:rsidRDefault="007C6CFC">
      <w:pPr>
        <w:pBdr>
          <w:left w:val="single" w:sz="12" w:space="10" w:color="1F3864"/>
        </w:pBdr>
        <w:spacing w:before="130" w:after="170" w:line="276" w:lineRule="auto"/>
        <w:ind w:left="340"/>
        <w:jc w:val="both"/>
      </w:pPr>
      <w:r>
        <w:rPr>
          <w:i/>
          <w:iCs/>
          <w:color w:val="444444"/>
          <w:sz w:val="20"/>
          <w:szCs w:val="20"/>
        </w:rPr>
        <w:t>Las condiciones y límites vigentes deben confirmarse en la consola del proveedor antes de</w:t>
      </w:r>
      <w:r>
        <w:rPr>
          <w:i/>
          <w:iCs/>
          <w:color w:val="444444"/>
          <w:sz w:val="20"/>
          <w:szCs w:val="20"/>
        </w:rPr>
        <w:t xml:space="preserve"> comprometer alcance. Para un proyecto universitario con usuarios de prueba, el modo restringido resulta suficiente.</w:t>
      </w:r>
    </w:p>
    <w:p w14:paraId="61F3713E" w14:textId="5F422ACE" w:rsidR="00F41FF7" w:rsidRDefault="007C6CFC" w:rsidP="00F53958"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2. Estado de la agregación bancaria en Chile</w:t>
      </w:r>
    </w:p>
    <w:p w14:paraId="534C4930" w14:textId="77777777" w:rsidR="00F41FF7" w:rsidRDefault="007C6CFC">
      <w:pPr>
        <w:spacing w:after="140" w:line="300" w:lineRule="auto"/>
        <w:jc w:val="both"/>
      </w:pPr>
      <w:r>
        <w:t>D</w:t>
      </w:r>
      <w:r>
        <w:t>os proveedores operan en el mercado chileno con producto maduro. Las condiciones que se det</w:t>
      </w:r>
      <w:r>
        <w:t>allan fueron verificadas el 26 de agosto de 2026.</w:t>
      </w:r>
    </w:p>
    <w:p w14:paraId="30A0A555" w14:textId="77777777" w:rsidR="00F41FF7" w:rsidRDefault="007C6CFC">
      <w:pPr>
        <w:pStyle w:val="Ttulo2"/>
        <w:spacing w:before="300" w:after="140"/>
      </w:pPr>
      <w:bookmarkStart w:id="5" w:name="_Toc238835625"/>
      <w:r>
        <w:rPr>
          <w:b/>
          <w:bCs/>
          <w:color w:val="1F3864"/>
        </w:rPr>
        <w:t xml:space="preserve">2.1 </w:t>
      </w:r>
      <w:proofErr w:type="spellStart"/>
      <w:r>
        <w:rPr>
          <w:b/>
          <w:bCs/>
          <w:color w:val="1F3864"/>
        </w:rPr>
        <w:t>Fintoc</w:t>
      </w:r>
      <w:bookmarkEnd w:id="5"/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41FF7" w14:paraId="17508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38120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616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D7AE6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</w:tr>
      <w:tr w:rsidR="00F41FF7" w14:paraId="0364B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105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Cobro por transacción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71B7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 xml:space="preserve">1% más IVA mediante open </w:t>
            </w:r>
            <w:proofErr w:type="spellStart"/>
            <w:r>
              <w:rPr>
                <w:sz w:val="19"/>
                <w:szCs w:val="19"/>
              </w:rPr>
              <w:t>banking</w:t>
            </w:r>
            <w:proofErr w:type="spellEnd"/>
            <w:r>
              <w:rPr>
                <w:sz w:val="19"/>
                <w:szCs w:val="19"/>
              </w:rPr>
              <w:t xml:space="preserve"> (producto medio de pago)</w:t>
            </w:r>
          </w:p>
        </w:tc>
      </w:tr>
      <w:tr w:rsidR="00F41FF7" w14:paraId="55BF6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6BB9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Mínimo de facturación mensual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8A643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6,5 UF más IVA, aplicable a todos los productos salvo integraciones de comercio electrónico</w:t>
            </w:r>
          </w:p>
        </w:tc>
      </w:tr>
      <w:tr w:rsidR="00F41FF7" w14:paraId="5E510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68FC3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Conciliación bancaria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5E4A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Cobro por cuenta bancaria conectada</w:t>
            </w:r>
          </w:p>
        </w:tc>
      </w:tr>
      <w:tr w:rsidR="00F41FF7" w14:paraId="576B5B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60EC8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Entorno de prueba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1FE7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Disponible sin costo</w:t>
            </w:r>
          </w:p>
        </w:tc>
      </w:tr>
      <w:tr w:rsidR="00F41FF7" w14:paraId="518B20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20DA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Modalidad de contratación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1A95C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A través del equipo comercial</w:t>
            </w:r>
          </w:p>
        </w:tc>
      </w:tr>
    </w:tbl>
    <w:p w14:paraId="61665A5E" w14:textId="77777777" w:rsidR="00F41FF7" w:rsidRDefault="007C6CFC">
      <w:pPr>
        <w:spacing w:after="140" w:line="300" w:lineRule="auto"/>
        <w:jc w:val="both"/>
      </w:pPr>
      <w:r>
        <w:t>Considerando el valor de la Unidad de Fomento al 26 de agosto de 2026 ($40.867), dicho mínimo equivale a aproximadamente $265.600 mensuales, o $316.100 con impuesto incluido, con independencia del uso efectivo del servicio.</w:t>
      </w:r>
    </w:p>
    <w:p w14:paraId="2EA5B146" w14:textId="77777777" w:rsidR="00F41FF7" w:rsidRDefault="007C6CFC">
      <w:pPr>
        <w:pStyle w:val="Ttulo2"/>
        <w:spacing w:before="300" w:after="140"/>
      </w:pPr>
      <w:bookmarkStart w:id="6" w:name="_Toc238835626"/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 xml:space="preserve">.2 </w:t>
      </w:r>
      <w:proofErr w:type="spellStart"/>
      <w:r>
        <w:rPr>
          <w:b/>
          <w:bCs/>
          <w:color w:val="1F3864"/>
        </w:rPr>
        <w:t>Belvo</w:t>
      </w:r>
      <w:bookmarkEnd w:id="6"/>
      <w:proofErr w:type="spellEnd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41FF7" w14:paraId="264DF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E9E34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616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7E736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</w:tr>
      <w:tr w:rsidR="00F41FF7" w14:paraId="26978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5F887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Planes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C0924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Desde USD 1.000 mensuales, con planes a medida según volumen</w:t>
            </w:r>
          </w:p>
        </w:tc>
      </w:tr>
      <w:tr w:rsidR="00F41FF7" w14:paraId="28F296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567A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Entorno de prueba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F3B4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Disponible sin costo, con datos ficticios</w:t>
            </w:r>
          </w:p>
        </w:tc>
      </w:tr>
      <w:tr w:rsidR="00F41FF7" w14:paraId="6CE46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8CFD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Cobertura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B00A4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Regional. Su foco declarado se concentra en México y Brasil</w:t>
            </w:r>
          </w:p>
        </w:tc>
      </w:tr>
    </w:tbl>
    <w:p w14:paraId="111B80FF" w14:textId="77777777" w:rsidR="00F41FF7" w:rsidRDefault="007C6CFC">
      <w:pPr>
        <w:pStyle w:val="Ttulo2"/>
        <w:spacing w:before="300" w:after="140"/>
      </w:pPr>
      <w:bookmarkStart w:id="7" w:name="_Toc238835627"/>
      <w:r>
        <w:rPr>
          <w:b/>
          <w:bCs/>
          <w:color w:val="1F3864"/>
        </w:rPr>
        <w:t>2.3 Conclusión</w:t>
      </w:r>
      <w:bookmarkEnd w:id="7"/>
    </w:p>
    <w:p w14:paraId="67307068" w14:textId="77777777" w:rsidR="00F41FF7" w:rsidRDefault="007C6CFC">
      <w:pPr>
        <w:pBdr>
          <w:left w:val="single" w:sz="14" w:space="12" w:color="BF9000"/>
        </w:pBdr>
        <w:shd w:val="clear" w:color="auto" w:fill="FFF2CC"/>
        <w:spacing w:before="170" w:after="170" w:line="300" w:lineRule="auto"/>
        <w:ind w:left="300" w:right="300"/>
        <w:jc w:val="both"/>
      </w:pPr>
      <w:r>
        <w:rPr>
          <w:b/>
          <w:bCs/>
          <w:sz w:val="21"/>
          <w:szCs w:val="21"/>
        </w:rPr>
        <w:t>La agregación bancaria en producción resulta económicamente inviable para este proyecto. El piso de gasto mensual de cualquiera de los dos proveedores supera el presupuesto complet</w:t>
      </w:r>
      <w:r>
        <w:rPr>
          <w:b/>
          <w:bCs/>
          <w:sz w:val="21"/>
          <w:szCs w:val="21"/>
        </w:rPr>
        <w:t>o de un trabajo universitario.</w:t>
      </w:r>
    </w:p>
    <w:p w14:paraId="48552158" w14:textId="77777777" w:rsidR="00F41FF7" w:rsidRDefault="007C6CFC">
      <w:pPr>
        <w:spacing w:after="140" w:line="300" w:lineRule="auto"/>
        <w:jc w:val="both"/>
      </w:pPr>
      <w:r>
        <w:t>Los entornos de prueba, en cambio, son accesibles y gratuitos. Permiten implementar y demostrar la integración con datos ficticios sin necesidad de contratar el servicio.</w:t>
      </w:r>
    </w:p>
    <w:p w14:paraId="04ED0577" w14:textId="77777777" w:rsidR="00F41FF7" w:rsidRDefault="007C6CFC">
      <w:r>
        <w:br w:type="page"/>
      </w:r>
    </w:p>
    <w:p w14:paraId="13F74734" w14:textId="77777777" w:rsidR="00F41FF7" w:rsidRDefault="007C6CFC">
      <w:pPr>
        <w:pStyle w:val="Ttulo1"/>
        <w:spacing w:before="380" w:after="200"/>
      </w:pPr>
      <w:bookmarkStart w:id="8" w:name="_Toc238835628"/>
      <w:r>
        <w:rPr>
          <w:b/>
          <w:bCs/>
          <w:color w:val="1F3864"/>
        </w:rPr>
        <w:lastRenderedPageBreak/>
        <w:t>3. Ley Fintech 21.521 y el Sistema de Finanzas Abier</w:t>
      </w:r>
      <w:r>
        <w:rPr>
          <w:b/>
          <w:bCs/>
          <w:color w:val="1F3864"/>
        </w:rPr>
        <w:t>tas</w:t>
      </w:r>
      <w:bookmarkEnd w:id="8"/>
    </w:p>
    <w:p w14:paraId="1073465F" w14:textId="77777777" w:rsidR="00F41FF7" w:rsidRDefault="007C6CFC">
      <w:pPr>
        <w:spacing w:after="140" w:line="300" w:lineRule="auto"/>
        <w:jc w:val="both"/>
      </w:pPr>
      <w:r>
        <w:t xml:space="preserve">La Ley 21.521 regula los servicios financieros tecnológicos y crea el Sistema de Finanzas Abiertas: un ecosistema de intercambio de datos financieros con consentimiento explícito del titular, que permitiría a terceros autorizados acceder a información </w:t>
      </w:r>
      <w:r>
        <w:t>bancaria mediante interfaces estandarizadas.</w:t>
      </w:r>
    </w:p>
    <w:p w14:paraId="315F71FF" w14:textId="77777777" w:rsidR="00F41FF7" w:rsidRDefault="007C6CFC">
      <w:pPr>
        <w:spacing w:after="140" w:line="300" w:lineRule="auto"/>
        <w:jc w:val="both"/>
      </w:pPr>
      <w:r>
        <w:t>Constituye, en teoría, la solución idónea al problema que aborda esta decisión.</w:t>
      </w:r>
    </w:p>
    <w:p w14:paraId="35A5020E" w14:textId="77777777" w:rsidR="00F41FF7" w:rsidRDefault="007C6CFC">
      <w:pPr>
        <w:pStyle w:val="Ttulo2"/>
        <w:spacing w:before="300" w:after="140"/>
      </w:pPr>
      <w:bookmarkStart w:id="9" w:name="_Toc238835629"/>
      <w:r>
        <w:rPr>
          <w:b/>
          <w:bCs/>
          <w:color w:val="1F3864"/>
        </w:rPr>
        <w:t>3.1 Cronograma</w:t>
      </w:r>
      <w:bookmarkEnd w:id="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41FF7" w14:paraId="2DE17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C9254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Hito</w:t>
            </w:r>
          </w:p>
        </w:tc>
        <w:tc>
          <w:tcPr>
            <w:tcW w:w="30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65FAF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</w:tr>
      <w:tr w:rsidR="00F41FF7" w14:paraId="219D50A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98C3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Publicación de la ley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62F3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2023</w:t>
            </w:r>
          </w:p>
        </w:tc>
      </w:tr>
      <w:tr w:rsidR="00F41FF7" w14:paraId="2EBDD33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B048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Entrada en operación originalmente prevista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AB426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Julio de 2026</w:t>
            </w:r>
          </w:p>
        </w:tc>
      </w:tr>
      <w:tr w:rsidR="00F41FF7" w14:paraId="022014F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EFA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Consulta pública de la CMF que propone posponer doce meses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EC1DE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Noviembre de 2025</w:t>
            </w:r>
          </w:p>
        </w:tc>
      </w:tr>
      <w:tr w:rsidR="00F41FF7" w14:paraId="54161BD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17E8F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Entrada en operación establecida por la NCG 569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EF39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Julio de 2027</w:t>
            </w:r>
          </w:p>
        </w:tc>
      </w:tr>
      <w:tr w:rsidR="00F41FF7" w14:paraId="6A19C66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6376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Disponibilidad de Sandbox y Directorio de la CMF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77A4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Nueve m</w:t>
            </w:r>
            <w:r>
              <w:rPr>
                <w:sz w:val="19"/>
                <w:szCs w:val="19"/>
              </w:rPr>
              <w:t>eses antes, aproximadamente octubre de 2026</w:t>
            </w:r>
          </w:p>
        </w:tc>
      </w:tr>
    </w:tbl>
    <w:p w14:paraId="79DC9555" w14:textId="77777777" w:rsidR="00F41FF7" w:rsidRDefault="007C6CFC">
      <w:pPr>
        <w:spacing w:after="140" w:line="300" w:lineRule="auto"/>
        <w:jc w:val="both"/>
      </w:pPr>
      <w:r>
        <w:t>Tras la entrada en vigencia rige además un calendario gradual: entre cinco y dieciocho meses para bancos y emisores de tarjetas según el tipo de interfaz, y entre veinte y treinta meses para el resto de las enti</w:t>
      </w:r>
      <w:r>
        <w:t>dades reguladas.</w:t>
      </w:r>
    </w:p>
    <w:p w14:paraId="1E59E820" w14:textId="77777777" w:rsidR="00F41FF7" w:rsidRDefault="007C6CFC">
      <w:pPr>
        <w:pStyle w:val="Ttulo2"/>
        <w:spacing w:before="300" w:after="140"/>
      </w:pPr>
      <w:bookmarkStart w:id="10" w:name="_Toc238835630"/>
      <w:r>
        <w:rPr>
          <w:b/>
          <w:bCs/>
          <w:color w:val="1F3864"/>
        </w:rPr>
        <w:t>3.2 Conclusión</w:t>
      </w:r>
      <w:bookmarkEnd w:id="10"/>
    </w:p>
    <w:p w14:paraId="7A2ACC0B" w14:textId="77777777" w:rsidR="00F41FF7" w:rsidRDefault="007C6CFC">
      <w:pPr>
        <w:pBdr>
          <w:left w:val="single" w:sz="14" w:space="12" w:color="BF9000"/>
        </w:pBdr>
        <w:shd w:val="clear" w:color="auto" w:fill="FFF2CC"/>
        <w:spacing w:before="170" w:after="170" w:line="300" w:lineRule="auto"/>
        <w:ind w:left="300" w:right="300"/>
        <w:jc w:val="both"/>
      </w:pPr>
      <w:r>
        <w:rPr>
          <w:b/>
          <w:bCs/>
          <w:sz w:val="21"/>
          <w:szCs w:val="21"/>
        </w:rPr>
        <w:t>El Sistema de Finanzas Abiertas no estará operativo durante este proyecto ni durante el año siguiente. La postergación dispuesta por la CMF lo sitúa en julio de 2027, y las interfaces de mayor utilidad para este caso resultan disponibles con posterioridad.</w:t>
      </w:r>
    </w:p>
    <w:p w14:paraId="56E2B995" w14:textId="77777777" w:rsidR="00F41FF7" w:rsidRDefault="007C6CFC">
      <w:pPr>
        <w:spacing w:after="140" w:line="300" w:lineRule="auto"/>
        <w:jc w:val="both"/>
      </w:pPr>
      <w:r>
        <w:t>Esta circunstancia no constituye un obstáculo, sino un argumento de diseño: la arquitectura de conectores adoptada permite incorporar el Sistema de Finanzas Abiertas como fuente adicional cuando exista, sin rediseñar el sistema. El proyecto queda delibera</w:t>
      </w:r>
      <w:r>
        <w:t>damente preparado para una capacidad que el mercado todavía no ofrece.</w:t>
      </w:r>
    </w:p>
    <w:p w14:paraId="52F65F12" w14:textId="77777777" w:rsidR="00F41FF7" w:rsidRDefault="007C6CFC">
      <w:r>
        <w:br w:type="page"/>
      </w:r>
    </w:p>
    <w:p w14:paraId="50AA1C7D" w14:textId="77777777" w:rsidR="00F41FF7" w:rsidRDefault="007C6CFC">
      <w:pPr>
        <w:pStyle w:val="Ttulo1"/>
        <w:spacing w:before="380" w:after="200"/>
      </w:pPr>
      <w:bookmarkStart w:id="11" w:name="_Toc238835631"/>
      <w:r>
        <w:rPr>
          <w:b/>
          <w:bCs/>
          <w:color w:val="1F3864"/>
        </w:rPr>
        <w:lastRenderedPageBreak/>
        <w:t>4. Decisión</w:t>
      </w:r>
      <w:bookmarkEnd w:id="11"/>
    </w:p>
    <w:p w14:paraId="2913D748" w14:textId="77777777" w:rsidR="00F41FF7" w:rsidRDefault="007C6CFC">
      <w:pPr>
        <w:spacing w:after="140" w:line="300" w:lineRule="auto"/>
        <w:jc w:val="both"/>
      </w:pPr>
      <w:r>
        <w:t>Se adopta una estrategia escalonada de obtención de datos de cobro.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900"/>
        <w:gridCol w:w="5260"/>
      </w:tblGrid>
      <w:tr w:rsidR="00F41FF7" w14:paraId="00F00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9FE6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29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123FB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526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E1D8A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Estado en el proyecto</w:t>
            </w:r>
          </w:p>
        </w:tc>
      </w:tr>
      <w:tr w:rsidR="00F41FF7" w14:paraId="2294B5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81DA4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5E51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Entrada manual e importación CSV</w:t>
            </w:r>
          </w:p>
        </w:tc>
        <w:tc>
          <w:tcPr>
            <w:tcW w:w="5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341E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Implementada. Constituye el piso obligatorio: el sistema opera sin ningún conector</w:t>
            </w:r>
          </w:p>
        </w:tc>
      </w:tr>
      <w:tr w:rsidR="00F41FF7" w14:paraId="1F2B5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012F3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C8A6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Lectura de correo electrónico</w:t>
            </w:r>
          </w:p>
        </w:tc>
        <w:tc>
          <w:tcPr>
            <w:tcW w:w="5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5500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Implementada con usuarios de prueba</w:t>
            </w:r>
          </w:p>
        </w:tc>
      </w:tr>
      <w:tr w:rsidR="00F41FF7" w14:paraId="2935B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D362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03D4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Agregación bancaria</w:t>
            </w:r>
          </w:p>
        </w:tc>
        <w:tc>
          <w:tcPr>
            <w:tcW w:w="5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ABA9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Integración contra entorno de prueba, sujeta a disponibilidad de tiempo. Producción fuera de alcance por costo</w:t>
            </w:r>
          </w:p>
        </w:tc>
      </w:tr>
      <w:tr w:rsidR="00F41FF7" w14:paraId="77E4ED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3087C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2E0E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Sistema de Finanzas Abiertas</w:t>
            </w:r>
          </w:p>
        </w:tc>
        <w:tc>
          <w:tcPr>
            <w:tcW w:w="5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87A9E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Trabajo futuro, con fecha conocida: julio de 2027</w:t>
            </w:r>
          </w:p>
        </w:tc>
      </w:tr>
    </w:tbl>
    <w:p w14:paraId="247F8787" w14:textId="77777777" w:rsidR="00F41FF7" w:rsidRDefault="007C6CFC">
      <w:pPr>
        <w:pStyle w:val="Ttulo2"/>
        <w:spacing w:before="300" w:after="140"/>
      </w:pPr>
      <w:bookmarkStart w:id="12" w:name="_Toc238835632"/>
      <w:r>
        <w:rPr>
          <w:b/>
          <w:bCs/>
          <w:color w:val="1F3864"/>
        </w:rPr>
        <w:t>4.1 Justificación</w:t>
      </w:r>
      <w:bookmarkEnd w:id="12"/>
    </w:p>
    <w:p w14:paraId="4B7F12FE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1.</w:t>
      </w:r>
      <w:r>
        <w:tab/>
        <w:t>El producto es funcional desde el primer día. Las dos funcionalidades más demandadas —aviso de cobro y aviso de término de prueba gratuita— se satisfacen mediante entrada manual, sin depender de integración externa alguna.</w:t>
      </w:r>
    </w:p>
    <w:p w14:paraId="65088904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2.</w:t>
      </w:r>
      <w:r>
        <w:tab/>
        <w:t>El costo de la agregación ban</w:t>
      </w:r>
      <w:r>
        <w:t>caria excede el presupuesto del proyecto en dos órdenes de magnitud. No constituye una limitación de diseño sino una restricción de mercado documentada.</w:t>
      </w:r>
    </w:p>
    <w:p w14:paraId="137D4A21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3.</w:t>
      </w:r>
      <w:r>
        <w:tab/>
        <w:t>La integración resulta demostrable sin ser contratada. El entorno de prueba permite exhibir el conec</w:t>
      </w:r>
      <w:r>
        <w:t>tor en funcionamiento durante la defensa.</w:t>
      </w:r>
    </w:p>
    <w:p w14:paraId="48918823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4.</w:t>
      </w:r>
      <w:r>
        <w:tab/>
        <w:t>La arquitectura no queda comprometida. El contrato común de conectores admite la incorporación de una fuente nueva sin modificar el resto del sistema.</w:t>
      </w:r>
    </w:p>
    <w:p w14:paraId="122090BE" w14:textId="77777777" w:rsidR="00F41FF7" w:rsidRDefault="007C6CFC">
      <w:pPr>
        <w:pStyle w:val="Ttulo2"/>
        <w:spacing w:before="300" w:after="140"/>
      </w:pPr>
      <w:bookmarkStart w:id="13" w:name="_Toc238835633"/>
      <w:r>
        <w:rPr>
          <w:b/>
          <w:bCs/>
          <w:color w:val="1F3864"/>
        </w:rPr>
        <w:t>4.2 Consecuencias</w:t>
      </w:r>
      <w:bookmarkEnd w:id="13"/>
    </w:p>
    <w:p w14:paraId="065D7D54" w14:textId="77777777" w:rsidR="00F41FF7" w:rsidRDefault="007C6CFC">
      <w:pPr>
        <w:spacing w:after="80" w:line="300" w:lineRule="auto"/>
        <w:jc w:val="both"/>
      </w:pPr>
      <w:r>
        <w:rPr>
          <w:b/>
          <w:bCs/>
        </w:rPr>
        <w:t>Positivas</w:t>
      </w:r>
    </w:p>
    <w:p w14:paraId="4B9DAAC0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 xml:space="preserve">Ausencia de riesgo de bloqueo </w:t>
      </w:r>
      <w:r>
        <w:t>del proyecto por una dependencia externa.</w:t>
      </w:r>
    </w:p>
    <w:p w14:paraId="7AAC5A2B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Sin exposición regulatoria en producción.</w:t>
      </w:r>
    </w:p>
    <w:p w14:paraId="410C1C55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Ruta de evolución documentada y con fecha determinada.</w:t>
      </w:r>
    </w:p>
    <w:p w14:paraId="08A7B456" w14:textId="77777777" w:rsidR="00F41FF7" w:rsidRDefault="007C6CFC">
      <w:pPr>
        <w:spacing w:after="80" w:line="300" w:lineRule="auto"/>
        <w:jc w:val="both"/>
      </w:pPr>
      <w:r>
        <w:rPr>
          <w:b/>
          <w:bCs/>
        </w:rPr>
        <w:t>Negativas, asumidas conscientemente</w:t>
      </w:r>
    </w:p>
    <w:p w14:paraId="24BDF759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La detección automática de cobros queda limitada a lo que el correo electró</w:t>
      </w:r>
      <w:r>
        <w:t>nico permita identificar.</w:t>
      </w:r>
    </w:p>
    <w:p w14:paraId="26C6DC56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La carga inicial de suscripciones recae en el usuario, lo que constituye fricción de adopción real y debe declararse en el informe.</w:t>
      </w:r>
    </w:p>
    <w:p w14:paraId="35FFA244" w14:textId="77777777" w:rsidR="00F41FF7" w:rsidRDefault="007C6CFC">
      <w:r>
        <w:br w:type="page"/>
      </w:r>
    </w:p>
    <w:p w14:paraId="2B00C812" w14:textId="77777777" w:rsidR="00F41FF7" w:rsidRDefault="007C6CFC">
      <w:pPr>
        <w:pStyle w:val="Ttulo1"/>
        <w:spacing w:before="380" w:after="200"/>
      </w:pPr>
      <w:bookmarkStart w:id="14" w:name="_Toc238835634"/>
      <w:r>
        <w:rPr>
          <w:b/>
          <w:bCs/>
          <w:color w:val="1F3864"/>
        </w:rPr>
        <w:lastRenderedPageBreak/>
        <w:t>5. Protección de datos: Ley 21.719</w:t>
      </w:r>
      <w:bookmarkEnd w:id="14"/>
    </w:p>
    <w:p w14:paraId="58082B50" w14:textId="77777777" w:rsidR="00F41FF7" w:rsidRDefault="007C6CFC">
      <w:pPr>
        <w:spacing w:after="140" w:line="300" w:lineRule="auto"/>
        <w:jc w:val="both"/>
      </w:pPr>
      <w:r>
        <w:t>La Ley 21.719 fue publicada el 13 de diciembre de 2024 y en</w:t>
      </w:r>
      <w:r>
        <w:t>tra en vigencia el 1 de diciembre de 2026, es decir, durante el desarrollo de este proyecto.</w:t>
      </w:r>
    </w:p>
    <w:p w14:paraId="4C726E8F" w14:textId="77777777" w:rsidR="00F41FF7" w:rsidRDefault="007C6CFC">
      <w:pPr>
        <w:pStyle w:val="Ttulo2"/>
        <w:spacing w:before="300" w:after="140"/>
      </w:pPr>
      <w:bookmarkStart w:id="15" w:name="_Toc238835635"/>
      <w:r>
        <w:rPr>
          <w:b/>
          <w:bCs/>
          <w:color w:val="1F3864"/>
        </w:rPr>
        <w:t>5.1 Obligaciones relevantes</w:t>
      </w:r>
      <w:bookmarkEnd w:id="1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41FF7" w14:paraId="7EB44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83D43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Obligación</w:t>
            </w:r>
          </w:p>
        </w:tc>
        <w:tc>
          <w:tcPr>
            <w:tcW w:w="6160" w:type="dxa"/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320F6" w14:textId="77777777" w:rsidR="00F41FF7" w:rsidRDefault="007C6CF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Implicancia para el sistema</w:t>
            </w:r>
          </w:p>
        </w:tc>
      </w:tr>
      <w:tr w:rsidR="00F41FF7" w14:paraId="59E08C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40F20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Base de licitud y consentimiento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5231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El consentimiento debe ser específico, informado y revocable. La conexión de una cuenta externa exige consentimiento propio y separado</w:t>
            </w:r>
          </w:p>
        </w:tc>
      </w:tr>
      <w:tr w:rsidR="00F41FF7" w14:paraId="31AC9F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59C9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Derechos de acceso, rectificación, cancelación y oposición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D2AB8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El usuario debe poder exportar y eliminar sus datos</w:t>
            </w:r>
          </w:p>
        </w:tc>
      </w:tr>
      <w:tr w:rsidR="00F41FF7" w14:paraId="3DD9D3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61BE3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Registro de actividades de tratamiento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8B1CC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Documentar qué datos se tratan, con qué finalidad y por cuánto tiempo</w:t>
            </w:r>
          </w:p>
        </w:tc>
      </w:tr>
      <w:tr w:rsidR="00F41FF7" w14:paraId="7DD6A7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A068E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Notificación de vulneraciones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A5A4B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Reporte a la Agencia dentro de setenta y dos horas</w:t>
            </w:r>
          </w:p>
        </w:tc>
      </w:tr>
      <w:tr w:rsidR="00F41FF7" w14:paraId="1813B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55C9A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Regla específica para datos financieros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E5E48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Si la vulneración involu</w:t>
            </w:r>
            <w:r>
              <w:rPr>
                <w:sz w:val="19"/>
                <w:szCs w:val="19"/>
              </w:rPr>
              <w:t>cra datos financieros, debe comunicarse además a los titulares afectados en lenguaje claro</w:t>
            </w:r>
          </w:p>
        </w:tc>
      </w:tr>
      <w:tr w:rsidR="00F41FF7" w14:paraId="228DF4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422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Sanciones</w:t>
            </w:r>
          </w:p>
        </w:tc>
        <w:tc>
          <w:tcPr>
            <w:tcW w:w="6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7D0B1" w14:textId="77777777" w:rsidR="00F41FF7" w:rsidRDefault="007C6CFC">
            <w:pPr>
              <w:spacing w:line="252" w:lineRule="auto"/>
            </w:pPr>
            <w:r>
              <w:rPr>
                <w:sz w:val="19"/>
                <w:szCs w:val="19"/>
              </w:rPr>
              <w:t>Hasta 20.000 UTM, o el 4% de los ingresos anuales en caso de reincidencia</w:t>
            </w:r>
          </w:p>
        </w:tc>
      </w:tr>
    </w:tbl>
    <w:p w14:paraId="3AFA5E79" w14:textId="77777777" w:rsidR="00F41FF7" w:rsidRDefault="007C6CFC">
      <w:pPr>
        <w:pStyle w:val="Ttulo2"/>
        <w:spacing w:before="300" w:after="140"/>
      </w:pPr>
      <w:bookmarkStart w:id="16" w:name="_Toc238835636"/>
      <w:r>
        <w:rPr>
          <w:b/>
          <w:bCs/>
          <w:color w:val="1F3864"/>
        </w:rPr>
        <w:t>5.2 Consecuencias de diseño</w:t>
      </w:r>
      <w:bookmarkEnd w:id="16"/>
    </w:p>
    <w:p w14:paraId="32072625" w14:textId="77777777" w:rsidR="00F41FF7" w:rsidRDefault="007C6CFC">
      <w:pPr>
        <w:spacing w:after="140" w:line="300" w:lineRule="auto"/>
        <w:jc w:val="both"/>
      </w:pPr>
      <w:r>
        <w:t>Estas obligaciones se traducen en decisiones concre</w:t>
      </w:r>
      <w:r>
        <w:t>tas de implementación, y no en una sección declarativa del informe.</w:t>
      </w:r>
    </w:p>
    <w:p w14:paraId="574F1947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1.</w:t>
      </w:r>
      <w:r>
        <w:tab/>
        <w:t>Minimización. Se almacena únicamente proveedor, monto, fecha y ciclo de facturación. No se conserva la cartola completa ni el detalle de transacciones ajenas a suscripciones. A menor cantidad de datos almacenados, menor exposición ante una vulneración.</w:t>
      </w:r>
    </w:p>
    <w:p w14:paraId="1089AFB5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2.</w:t>
      </w:r>
      <w:r>
        <w:tab/>
        <w:t>Cifrado de credenciales. Los tokens de los conectores se almacenan cifrados y no se exponen en la interfaz ni en los registros de la aplicación.</w:t>
      </w:r>
    </w:p>
    <w:p w14:paraId="0D267059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3.</w:t>
      </w:r>
      <w:r>
        <w:tab/>
        <w:t>Consentimiento separado y revocable por conector. La aceptación de los términos de la aplicación no habilit</w:t>
      </w:r>
      <w:r>
        <w:t>a la lectura del correo. La desconexión de un conector debe eliminar los datos obtenidos por esa vía, no únicamente revocar el acceso.</w:t>
      </w:r>
    </w:p>
    <w:p w14:paraId="16B0C5A6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4.</w:t>
      </w:r>
      <w:r>
        <w:tab/>
        <w:t>Retención acotada. Definir y documentar el período de conservación de los registros de uso.</w:t>
      </w:r>
    </w:p>
    <w:p w14:paraId="169B3771" w14:textId="77777777" w:rsidR="00F41FF7" w:rsidRDefault="007C6CFC">
      <w:pPr>
        <w:spacing w:after="100" w:line="288" w:lineRule="auto"/>
        <w:ind w:left="500" w:hanging="320"/>
        <w:jc w:val="both"/>
      </w:pPr>
      <w:r>
        <w:rPr>
          <w:b/>
          <w:bCs/>
        </w:rPr>
        <w:t>5.</w:t>
      </w:r>
      <w:r>
        <w:tab/>
        <w:t>Aislamiento verificable</w:t>
      </w:r>
      <w:r>
        <w:t xml:space="preserve">. El aislamiento </w:t>
      </w:r>
      <w:proofErr w:type="spellStart"/>
      <w:r>
        <w:t>multi-tenant</w:t>
      </w:r>
      <w:proofErr w:type="spellEnd"/>
      <w:r>
        <w:t xml:space="preserve"> deja de constituir solo una decisión técnica: es la medida que impide que los datos de un grupo familiar resulten accesibles a otro.</w:t>
      </w:r>
    </w:p>
    <w:p w14:paraId="5BAA9E20" w14:textId="77777777" w:rsidR="00F41FF7" w:rsidRDefault="007C6CFC">
      <w:pPr>
        <w:pStyle w:val="Ttulo2"/>
        <w:spacing w:before="300" w:after="140"/>
      </w:pPr>
      <w:bookmarkStart w:id="17" w:name="_Toc238835637"/>
      <w:r>
        <w:rPr>
          <w:b/>
          <w:bCs/>
          <w:color w:val="1F3864"/>
        </w:rPr>
        <w:t>5.3 Una obligación de aplicación inmediata</w:t>
      </w:r>
      <w:bookmarkEnd w:id="17"/>
    </w:p>
    <w:p w14:paraId="3B8114AE" w14:textId="77777777" w:rsidR="00F41FF7" w:rsidRDefault="007C6CFC">
      <w:pPr>
        <w:spacing w:after="140" w:line="300" w:lineRule="auto"/>
        <w:jc w:val="both"/>
      </w:pPr>
      <w:r>
        <w:lastRenderedPageBreak/>
        <w:t>La planilla de la encuesta contiene dieciséis dire</w:t>
      </w:r>
      <w:r>
        <w:t>cciones de correo electrónico de personas que se ofrecieron a probar la aplicación. Ello constituye tratamiento de datos personales, con independencia de que el software aún no exista.</w:t>
      </w:r>
    </w:p>
    <w:p w14:paraId="620335FE" w14:textId="77777777" w:rsidR="00F41FF7" w:rsidRDefault="007C6CFC">
      <w:pPr>
        <w:spacing w:after="80" w:line="300" w:lineRule="auto"/>
        <w:jc w:val="both"/>
      </w:pPr>
      <w:r>
        <w:rPr>
          <w:b/>
          <w:bCs/>
        </w:rPr>
        <w:t>Medidas adoptadas:</w:t>
      </w:r>
    </w:p>
    <w:p w14:paraId="303B48DC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 xml:space="preserve">La carpeta de documentación se encuentra excluida </w:t>
      </w:r>
      <w:r>
        <w:t>del repositorio público.</w:t>
      </w:r>
    </w:p>
    <w:p w14:paraId="6D66F5DD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Dichas direcciones se emplean únicamente para el fin declarado al momento de recogerlas.</w:t>
      </w:r>
    </w:p>
    <w:p w14:paraId="21F3063D" w14:textId="77777777" w:rsidR="00F41FF7" w:rsidRDefault="007C6CFC">
      <w:pPr>
        <w:spacing w:after="80" w:line="288" w:lineRule="auto"/>
        <w:ind w:left="460" w:hanging="240"/>
        <w:jc w:val="both"/>
      </w:pPr>
      <w:r>
        <w:t>—</w:t>
      </w:r>
      <w:r>
        <w:tab/>
        <w:t>Deben eliminarse al término del proyecto en caso de no concretarse la invitación.</w:t>
      </w:r>
    </w:p>
    <w:p w14:paraId="03431BD2" w14:textId="77777777" w:rsidR="00F41FF7" w:rsidRDefault="007C6CFC">
      <w:r>
        <w:br w:type="page"/>
      </w:r>
    </w:p>
    <w:p w14:paraId="408EE99B" w14:textId="77777777" w:rsidR="00F41FF7" w:rsidRDefault="007C6CFC">
      <w:pPr>
        <w:pStyle w:val="Ttulo1"/>
        <w:spacing w:before="380" w:after="200"/>
      </w:pPr>
      <w:bookmarkStart w:id="18" w:name="_Toc238835638"/>
      <w:r>
        <w:rPr>
          <w:b/>
          <w:bCs/>
          <w:color w:val="1F3864"/>
        </w:rPr>
        <w:lastRenderedPageBreak/>
        <w:t>Fuentes consultadas</w:t>
      </w:r>
      <w:bookmarkEnd w:id="18"/>
    </w:p>
    <w:p w14:paraId="45A4C07E" w14:textId="77777777" w:rsidR="00F41FF7" w:rsidRDefault="007C6CFC">
      <w:pPr>
        <w:spacing w:after="140" w:line="300" w:lineRule="auto"/>
        <w:jc w:val="both"/>
      </w:pPr>
      <w:r>
        <w:t>Todas las fuentes fueron verificad</w:t>
      </w:r>
      <w:r>
        <w:t>as el 26 de agosto de 2026.</w:t>
      </w:r>
    </w:p>
    <w:p w14:paraId="5C7982CE" w14:textId="77777777" w:rsidR="00F41FF7" w:rsidRDefault="007C6CFC">
      <w:pPr>
        <w:pBdr>
          <w:left w:val="single" w:sz="12" w:space="10" w:color="1F3864"/>
        </w:pBdr>
        <w:spacing w:before="130" w:after="170" w:line="276" w:lineRule="auto"/>
        <w:ind w:left="340"/>
        <w:jc w:val="both"/>
      </w:pPr>
      <w:r>
        <w:rPr>
          <w:i/>
          <w:iCs/>
          <w:color w:val="444444"/>
          <w:sz w:val="20"/>
          <w:szCs w:val="20"/>
        </w:rPr>
        <w:t xml:space="preserve">Las condiciones comerciales y los plazos regulatorios están sujetos a cambio. El calendario del Sistema de Finanzas Abiertas ya fue modificado en una oportunidad. Corresponde </w:t>
      </w:r>
      <w:proofErr w:type="spellStart"/>
      <w:r>
        <w:rPr>
          <w:i/>
          <w:iCs/>
          <w:color w:val="444444"/>
          <w:sz w:val="20"/>
          <w:szCs w:val="20"/>
        </w:rPr>
        <w:t>reverificar</w:t>
      </w:r>
      <w:proofErr w:type="spellEnd"/>
      <w:r>
        <w:rPr>
          <w:i/>
          <w:iCs/>
          <w:color w:val="444444"/>
          <w:sz w:val="20"/>
          <w:szCs w:val="20"/>
        </w:rPr>
        <w:t xml:space="preserve"> antes de la entrega final.</w:t>
      </w:r>
    </w:p>
    <w:p w14:paraId="3C9BFB4B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CMF — </w:t>
      </w:r>
      <w:hyperlink r:id="rId7" w:history="1">
        <w:r>
          <w:rPr>
            <w:color w:val="2E5395"/>
            <w:sz w:val="19"/>
            <w:szCs w:val="19"/>
            <w:u w:val="single"/>
          </w:rPr>
          <w:t>Norma que regula el Sistema de Finanzas Abiertas</w:t>
        </w:r>
      </w:hyperlink>
    </w:p>
    <w:p w14:paraId="470439A6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CMF — </w:t>
      </w:r>
      <w:hyperlink r:id="rId8" w:history="1">
        <w:r>
          <w:rPr>
            <w:color w:val="2E5395"/>
            <w:sz w:val="19"/>
            <w:szCs w:val="19"/>
            <w:u w:val="single"/>
          </w:rPr>
          <w:t>Consulta pública sobre modificaciones al Sistema de Finanzas Abiertas</w:t>
        </w:r>
      </w:hyperlink>
    </w:p>
    <w:p w14:paraId="08246123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CMF — </w:t>
      </w:r>
      <w:hyperlink r:id="rId9" w:history="1">
        <w:r>
          <w:rPr>
            <w:color w:val="2E5395"/>
            <w:sz w:val="19"/>
            <w:szCs w:val="19"/>
            <w:u w:val="single"/>
          </w:rPr>
          <w:t>Claves de la actualización de la NCG 514</w:t>
        </w:r>
      </w:hyperlink>
    </w:p>
    <w:p w14:paraId="76AF284B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Cuatrecasas — </w:t>
      </w:r>
      <w:hyperlink r:id="rId10" w:history="1">
        <w:r>
          <w:rPr>
            <w:color w:val="2E5395"/>
            <w:sz w:val="19"/>
            <w:szCs w:val="19"/>
            <w:u w:val="single"/>
          </w:rPr>
          <w:t>NCG 569 y reglas técnicas del Sistema de Finanzas Abiertas</w:t>
        </w:r>
      </w:hyperlink>
    </w:p>
    <w:p w14:paraId="38A9C85F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Carey — </w:t>
      </w:r>
      <w:hyperlink r:id="rId11" w:history="1">
        <w:r>
          <w:rPr>
            <w:color w:val="2E5395"/>
            <w:sz w:val="19"/>
            <w:szCs w:val="19"/>
            <w:u w:val="single"/>
          </w:rPr>
          <w:t>Propuesta normativa que posterga doce meses la entrada en vigencia del SFA</w:t>
        </w:r>
      </w:hyperlink>
    </w:p>
    <w:p w14:paraId="6478B98E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Fintoc</w:t>
      </w:r>
      <w:proofErr w:type="spellEnd"/>
      <w:r>
        <w:rPr>
          <w:sz w:val="19"/>
          <w:szCs w:val="19"/>
        </w:rPr>
        <w:t xml:space="preserve"> — </w:t>
      </w:r>
      <w:hyperlink r:id="rId12" w:history="1">
        <w:r>
          <w:rPr>
            <w:color w:val="2E5395"/>
            <w:sz w:val="19"/>
            <w:szCs w:val="19"/>
            <w:u w:val="single"/>
          </w:rPr>
          <w:t>Tarifas y comisiones</w:t>
        </w:r>
      </w:hyperlink>
    </w:p>
    <w:p w14:paraId="06735CA6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Belvo</w:t>
      </w:r>
      <w:proofErr w:type="spellEnd"/>
      <w:r>
        <w:rPr>
          <w:sz w:val="19"/>
          <w:szCs w:val="19"/>
        </w:rPr>
        <w:t xml:space="preserve"> — </w:t>
      </w:r>
      <w:hyperlink r:id="rId13" w:history="1">
        <w:r>
          <w:rPr>
            <w:color w:val="2E5395"/>
            <w:sz w:val="19"/>
            <w:szCs w:val="19"/>
            <w:u w:val="single"/>
          </w:rPr>
          <w:t>Planes y precios</w:t>
        </w:r>
      </w:hyperlink>
    </w:p>
    <w:p w14:paraId="12B5FA8A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Belvo</w:t>
      </w:r>
      <w:proofErr w:type="spellEnd"/>
      <w:r>
        <w:rPr>
          <w:sz w:val="19"/>
          <w:szCs w:val="19"/>
        </w:rPr>
        <w:t xml:space="preserve"> — </w:t>
      </w:r>
      <w:hyperlink r:id="rId14" w:history="1">
        <w:r>
          <w:rPr>
            <w:color w:val="2E5395"/>
            <w:sz w:val="19"/>
            <w:szCs w:val="19"/>
            <w:u w:val="single"/>
          </w:rPr>
          <w:t>Documentación del entorno de prueba</w:t>
        </w:r>
      </w:hyperlink>
    </w:p>
    <w:p w14:paraId="6A593661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Thomson Reuters — </w:t>
      </w:r>
      <w:hyperlink r:id="rId15" w:history="1">
        <w:r>
          <w:rPr>
            <w:color w:val="2E5395"/>
            <w:sz w:val="19"/>
            <w:szCs w:val="19"/>
            <w:u w:val="single"/>
          </w:rPr>
          <w:t>Ley 21.719 y la reconstrucción del derecho chileno de protección de datos personales</w:t>
        </w:r>
      </w:hyperlink>
    </w:p>
    <w:p w14:paraId="7B88148E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Confirmer360 — </w:t>
      </w:r>
      <w:hyperlink r:id="rId16" w:history="1">
        <w:r>
          <w:rPr>
            <w:color w:val="2E5395"/>
            <w:sz w:val="19"/>
            <w:szCs w:val="19"/>
            <w:u w:val="single"/>
          </w:rPr>
          <w:t>Ley 21.719 en banca y servicios financieros</w:t>
        </w:r>
      </w:hyperlink>
    </w:p>
    <w:p w14:paraId="2E898C50" w14:textId="77777777" w:rsidR="00F41FF7" w:rsidRDefault="007C6CFC">
      <w:pPr>
        <w:spacing w:after="90" w:line="276" w:lineRule="auto"/>
        <w:ind w:left="460" w:hanging="240"/>
      </w:pPr>
      <w:r>
        <w:rPr>
          <w:sz w:val="19"/>
          <w:szCs w:val="19"/>
        </w:rPr>
        <w:t>—</w:t>
      </w:r>
      <w:r>
        <w:rPr>
          <w:sz w:val="19"/>
          <w:szCs w:val="19"/>
        </w:rPr>
        <w:tab/>
        <w:t xml:space="preserve">Calcular.cl — </w:t>
      </w:r>
      <w:hyperlink r:id="rId17" w:history="1">
        <w:r>
          <w:rPr>
            <w:color w:val="2E5395"/>
            <w:sz w:val="19"/>
            <w:szCs w:val="19"/>
            <w:u w:val="single"/>
          </w:rPr>
          <w:t>Valor de la Unidad de Fomento</w:t>
        </w:r>
      </w:hyperlink>
    </w:p>
    <w:sectPr w:rsidR="00F41FF7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134F6" w14:textId="77777777" w:rsidR="007C6CFC" w:rsidRDefault="007C6CFC">
      <w:r>
        <w:separator/>
      </w:r>
    </w:p>
  </w:endnote>
  <w:endnote w:type="continuationSeparator" w:id="0">
    <w:p w14:paraId="0823089E" w14:textId="77777777" w:rsidR="007C6CFC" w:rsidRDefault="007C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7B9D3" w14:textId="77777777" w:rsidR="00F41FF7" w:rsidRDefault="007C6CFC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5395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D6CC3" w14:textId="77777777" w:rsidR="007C6CFC" w:rsidRDefault="007C6CFC">
      <w:r>
        <w:separator/>
      </w:r>
    </w:p>
  </w:footnote>
  <w:footnote w:type="continuationSeparator" w:id="0">
    <w:p w14:paraId="307B0F51" w14:textId="77777777" w:rsidR="007C6CFC" w:rsidRDefault="007C6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14E01"/>
    <w:multiLevelType w:val="hybridMultilevel"/>
    <w:tmpl w:val="9DA8C080"/>
    <w:lvl w:ilvl="0" w:tplc="675E1DDA">
      <w:start w:val="1"/>
      <w:numFmt w:val="bullet"/>
      <w:lvlText w:val="●"/>
      <w:lvlJc w:val="left"/>
      <w:pPr>
        <w:ind w:left="720" w:hanging="360"/>
      </w:pPr>
    </w:lvl>
    <w:lvl w:ilvl="1" w:tplc="A97EB22A">
      <w:start w:val="1"/>
      <w:numFmt w:val="bullet"/>
      <w:lvlText w:val="○"/>
      <w:lvlJc w:val="left"/>
      <w:pPr>
        <w:ind w:left="1440" w:hanging="360"/>
      </w:pPr>
    </w:lvl>
    <w:lvl w:ilvl="2" w:tplc="9B963ED2">
      <w:start w:val="1"/>
      <w:numFmt w:val="bullet"/>
      <w:lvlText w:val="■"/>
      <w:lvlJc w:val="left"/>
      <w:pPr>
        <w:ind w:left="2160" w:hanging="360"/>
      </w:pPr>
    </w:lvl>
    <w:lvl w:ilvl="3" w:tplc="65B408A6">
      <w:start w:val="1"/>
      <w:numFmt w:val="bullet"/>
      <w:lvlText w:val="●"/>
      <w:lvlJc w:val="left"/>
      <w:pPr>
        <w:ind w:left="2880" w:hanging="360"/>
      </w:pPr>
    </w:lvl>
    <w:lvl w:ilvl="4" w:tplc="196A5EA8">
      <w:start w:val="1"/>
      <w:numFmt w:val="bullet"/>
      <w:lvlText w:val="○"/>
      <w:lvlJc w:val="left"/>
      <w:pPr>
        <w:ind w:left="3600" w:hanging="360"/>
      </w:pPr>
    </w:lvl>
    <w:lvl w:ilvl="5" w:tplc="B8980E98">
      <w:start w:val="1"/>
      <w:numFmt w:val="bullet"/>
      <w:lvlText w:val="■"/>
      <w:lvlJc w:val="left"/>
      <w:pPr>
        <w:ind w:left="4320" w:hanging="360"/>
      </w:pPr>
    </w:lvl>
    <w:lvl w:ilvl="6" w:tplc="3BD02B34">
      <w:start w:val="1"/>
      <w:numFmt w:val="bullet"/>
      <w:lvlText w:val="●"/>
      <w:lvlJc w:val="left"/>
      <w:pPr>
        <w:ind w:left="5040" w:hanging="360"/>
      </w:pPr>
    </w:lvl>
    <w:lvl w:ilvl="7" w:tplc="F5B4AD26">
      <w:start w:val="1"/>
      <w:numFmt w:val="bullet"/>
      <w:lvlText w:val="●"/>
      <w:lvlJc w:val="left"/>
      <w:pPr>
        <w:ind w:left="5760" w:hanging="360"/>
      </w:pPr>
    </w:lvl>
    <w:lvl w:ilvl="8" w:tplc="109EBA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FF7"/>
    <w:rsid w:val="002E0A26"/>
    <w:rsid w:val="007C6CFC"/>
    <w:rsid w:val="00C4477E"/>
    <w:rsid w:val="00F41FF7"/>
    <w:rsid w:val="00F5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6DAD"/>
  <w15:docId w15:val="{6D786832-F99F-4E67-BDBD-DADAC9E2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5395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39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mfchile.cl/portal/prensa/615/w3-article-100482.html" TargetMode="External"/><Relationship Id="rId13" Type="http://schemas.openxmlformats.org/officeDocument/2006/relationships/hyperlink" Target="https://belvo.com/plans-and-pricing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mfchile.cl/portal/prensa/615/w3-article-82737.html" TargetMode="External"/><Relationship Id="rId12" Type="http://schemas.openxmlformats.org/officeDocument/2006/relationships/hyperlink" Target="https://fintoc.com/cl" TargetMode="External"/><Relationship Id="rId17" Type="http://schemas.openxmlformats.org/officeDocument/2006/relationships/hyperlink" Target="https://www.calcular.cl/valor-u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firmer360.com/guias/ley-21719-banca-financier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rey.cl/propuesta-normativa-de-la-cmf-a-la-ncg-n514-posterga-en-12-meses-la-entrada-en-vigencia-del-sistema-de-finanzas-abiertas-y-otorga-mayor-gradualidad-en-su-implementac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homsonreuters.cl/es-cl/soluciones-juridicas/biblioteca-contenido-legal/ley-21719-y-la-reconstruccion-del-derecho-chileno-de-proteccion-de-datos-personales" TargetMode="External"/><Relationship Id="rId10" Type="http://schemas.openxmlformats.org/officeDocument/2006/relationships/hyperlink" Target="https://www.cuatrecasas.com/es/latam/servicios-financieros-seguros/art/cmf-ncg-569-reglas-tecnicas-sistema-finanzas-abierta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mfchile.cl/portal/principal/613/articles-100979_doc_pdf.pdf" TargetMode="External"/><Relationship Id="rId14" Type="http://schemas.openxmlformats.org/officeDocument/2006/relationships/hyperlink" Target="https://developers.belvo.com/apis/belvoopenapispec/section/introduction/sandbo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2103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ADR-005 · Origen de los datos de cobros</vt:lpstr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 · Origen de los datos de cobros</dc:title>
  <dc:creator>Equipo de proyecto</dc:creator>
  <dc:description>Investigación del ámbito financiero: acceso a datos de cobros en Chile</dc:description>
  <cp:lastModifiedBy>felipe black</cp:lastModifiedBy>
  <cp:revision>4</cp:revision>
  <cp:lastPrinted>2026-08-28T22:55:00Z</cp:lastPrinted>
  <dcterms:created xsi:type="dcterms:W3CDTF">2026-08-28T22:54:00Z</dcterms:created>
  <dcterms:modified xsi:type="dcterms:W3CDTF">2026-08-29T06:58:00Z</dcterms:modified>
</cp:coreProperties>
</file>