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LSR BISMILLAH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Defining the main research questions of the literature review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Bagaimana cara menangani Quarter Life Crisis Menggunakan Algoritma Machine Learning</w:t>
      </w:r>
      <w:r>
        <w:rPr>
          <w:rFonts w:hint="default"/>
          <w:sz w:val="24"/>
          <w:szCs w:val="24"/>
          <w:lang w:val="en-US"/>
        </w:rPr>
        <w:t xml:space="preserve"> ?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Defining Keyword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Quarter Life Crisis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Machine Learning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Defining Search String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Apa itu Quarter Life Crisis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Bagaimana cara menganani </w:t>
      </w:r>
      <w:r>
        <w:rPr>
          <w:rFonts w:hint="default"/>
          <w:b w:val="0"/>
          <w:bCs w:val="0"/>
          <w:sz w:val="24"/>
          <w:szCs w:val="24"/>
          <w:lang w:val="en-US"/>
        </w:rPr>
        <w:t>Quarter Life Crisis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Algoritma untuk Quarter Life Crisis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Defining search engines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9F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2022-04-17T17:48:09Z</dcterms:created>
  <dc:creator>hp</dc:creator>
  <cp:lastModifiedBy>Yusuf Wijaya</cp:lastModifiedBy>
  <dcterms:modified xsi:type="dcterms:W3CDTF">2022-04-17T17:54:24Z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8336C8B777C54B24807249CEFCF811D6</vt:lpwstr>
  </property>
</Properties>
</file>