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8"/>
        </w:rPr>
        <w:br/>
        <w:br/>
        <w:br/>
        <w:br/>
      </w:r>
      <w:r>
        <w:rPr>
          <w:b/>
          <w:color w:val="001E50"/>
          <w:sz w:val="72"/>
        </w:rPr>
        <w:t>NTT DATA</w:t>
      </w:r>
      <w:r>
        <w:rPr>
          <w:color w:val="CCCCCC"/>
          <w:sz w:val="72"/>
        </w:rPr>
        <w:t xml:space="preserve">   |   </w:t>
      </w:r>
      <w:r>
        <w:rPr>
          <w:b/>
          <w:color w:val="1B1464"/>
          <w:sz w:val="72"/>
        </w:rPr>
        <w:t>kore</w:t>
      </w:r>
      <w:r>
        <w:rPr>
          <w:b/>
          <w:color w:val="00BFA5"/>
          <w:sz w:val="72"/>
        </w:rPr>
        <w:t>.ai</w:t>
      </w:r>
    </w:p>
    <w:p>
      <w:pPr>
        <w:jc w:val="center"/>
      </w:pPr>
      <w:r>
        <w:rPr>
          <w:sz w:val="32"/>
        </w:rPr>
        <w:br/>
      </w:r>
    </w:p>
    <w:p>
      <w:pPr>
        <w:jc w:val="center"/>
      </w:pPr>
      <w:r>
        <w:rPr>
          <w:b/>
          <w:color w:val="003087"/>
          <w:sz w:val="56"/>
        </w:rPr>
        <w:t>One NTT Data Sales Bot</w:t>
      </w:r>
    </w:p>
    <w:p>
      <w:pPr>
        <w:jc w:val="center"/>
      </w:pPr>
      <w:r>
        <w:rPr>
          <w:color w:val="0050D4"/>
          <w:sz w:val="44"/>
        </w:rPr>
        <w:t>Business Requirements Document</w:t>
      </w:r>
    </w:p>
    <w:p/>
    <w:p>
      <w:pPr>
        <w:jc w:val="center"/>
      </w:pPr>
      <w:r>
        <w:rPr>
          <w:b/>
          <w:color w:val="666666"/>
          <w:sz w:val="28"/>
        </w:rPr>
        <w:t>v03 — 2026-04-02 14:00 PT</w:t>
      </w:r>
    </w:p>
    <w:p/>
    <w:p>
      <w:pPr>
        <w:jc w:val="center"/>
      </w:pPr>
      <w:r>
        <w:rPr>
          <w:color w:val="555555"/>
          <w:sz w:val="32"/>
        </w:rPr>
        <w:t>Agentic AI Presentation &amp; Sales Enablement Platform</w:t>
        <w:br/>
        <w:t>for NTT DATA Cloud Services Group</w:t>
      </w:r>
    </w:p>
    <w:p/>
    <w:p/>
    <w:p>
      <w:pPr>
        <w:jc w:val="center"/>
      </w:pPr>
      <w:r>
        <w:rPr>
          <w:i/>
          <w:color w:val="990000"/>
          <w:sz w:val="22"/>
        </w:rPr>
        <w:t>CONFIDENTIAL — For Internal Use Only</w:t>
      </w:r>
    </w:p>
    <w:p/>
    <w:p>
      <w:pPr>
        <w:jc w:val="center"/>
      </w:pPr>
      <w:r>
        <w:rPr>
          <w:color w:val="666666"/>
          <w:sz w:val="24"/>
        </w:rPr>
        <w:t>Prepared by: Kore.ai / NTT DATA Partnership Team</w:t>
        <w:br/>
        <w:t>April 2026</w:t>
      </w:r>
    </w:p>
    <w:p>
      <w:r>
        <w:br w:type="page"/>
      </w:r>
    </w:p>
    <w:p>
      <w:pPr>
        <w:pStyle w:val="Heading1"/>
      </w:pPr>
      <w:r>
        <w:rPr>
          <w:color w:val="003087"/>
        </w:rPr>
        <w:t>Change Log</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Version</w:t>
            </w:r>
          </w:p>
        </w:tc>
        <w:tc>
          <w:tcPr>
            <w:tcW w:type="dxa" w:w="3135"/>
          </w:tcPr>
          <w:p>
            <w:r>
              <w:rPr>
                <w:b/>
              </w:rPr>
              <w:t>Date</w:t>
            </w:r>
          </w:p>
        </w:tc>
        <w:tc>
          <w:tcPr>
            <w:tcW w:type="dxa" w:w="3135"/>
          </w:tcPr>
          <w:p>
            <w:r>
              <w:rPr>
                <w:b/>
              </w:rPr>
              <w:t>Changes</w:t>
            </w:r>
          </w:p>
        </w:tc>
      </w:tr>
      <w:tr>
        <w:tc>
          <w:tcPr>
            <w:tcW w:type="dxa" w:w="3135"/>
          </w:tcPr>
          <w:p>
            <w:r>
              <w:t>v01</w:t>
            </w:r>
          </w:p>
        </w:tc>
        <w:tc>
          <w:tcPr>
            <w:tcW w:type="dxa" w:w="3135"/>
          </w:tcPr>
          <w:p>
            <w:r>
              <w:t>2026-04-01</w:t>
            </w:r>
          </w:p>
        </w:tc>
        <w:tc>
          <w:tcPr>
            <w:tcW w:type="dxa" w:w="3135"/>
          </w:tcPr>
          <w:p>
            <w:r>
              <w:t>Initial requirements and design document</w:t>
            </w:r>
          </w:p>
        </w:tc>
      </w:tr>
      <w:tr>
        <w:tc>
          <w:tcPr>
            <w:tcW w:type="dxa" w:w="3135"/>
          </w:tcPr>
          <w:p>
            <w:r>
              <w:t>v02</w:t>
            </w:r>
          </w:p>
        </w:tc>
        <w:tc>
          <w:tcPr>
            <w:tcW w:type="dxa" w:w="3135"/>
          </w:tcPr>
          <w:p>
            <w:r>
              <w:t>2026-04-01</w:t>
            </w:r>
          </w:p>
        </w:tc>
        <w:tc>
          <w:tcPr>
            <w:tcW w:type="dxa" w:w="3135"/>
          </w:tcPr>
          <w:p>
            <w:r>
              <w:t>Separated requirements from design; added priority column; corrected stakeholder names</w:t>
            </w:r>
          </w:p>
        </w:tc>
      </w:tr>
      <w:tr>
        <w:tc>
          <w:tcPr>
            <w:tcW w:type="dxa" w:w="3135"/>
          </w:tcPr>
          <w:p>
            <w:r>
              <w:t>v03</w:t>
            </w:r>
          </w:p>
        </w:tc>
        <w:tc>
          <w:tcPr>
            <w:tcW w:type="dxa" w:w="3135"/>
          </w:tcPr>
          <w:p>
            <w:r>
              <w:t>2026-04-02</w:t>
            </w:r>
          </w:p>
        </w:tc>
        <w:tc>
          <w:tcPr>
            <w:tcW w:type="dxa" w:w="3135"/>
          </w:tcPr>
          <w:p>
            <w:r>
              <w:t>Updated after demo/discovery with Shreeshan (Apr 2). Confirmed: volume, implementation partner (Gradius), data sources (Confluence + Hot Spot portal), internal use, voice priority. Added: demo catalog concept, digital assistant use case, virtual teammate model. Moved answered questions to confirmed decisions.</w:t>
            </w:r>
          </w:p>
        </w:tc>
      </w:tr>
    </w:tbl>
    <w:p>
      <w:r>
        <w:br w:type="page"/>
      </w:r>
    </w:p>
    <w:p>
      <w:pPr>
        <w:pStyle w:val="Heading1"/>
      </w:pPr>
      <w:r>
        <w:rPr>
          <w:color w:val="003087"/>
        </w:rPr>
        <w:t>Table of Contents</w:t>
      </w:r>
    </w:p>
    <w:p>
      <w:pPr>
        <w:spacing w:after="40"/>
      </w:pPr>
      <w:r>
        <w:t>1. Executive Summary</w:t>
      </w:r>
    </w:p>
    <w:p>
      <w:pPr>
        <w:spacing w:after="40"/>
      </w:pPr>
      <w:r>
        <w:t>2. Business Context</w:t>
      </w:r>
    </w:p>
    <w:p>
      <w:pPr>
        <w:spacing w:after="40"/>
      </w:pPr>
      <w:r>
        <w:t>3. Stakeholders</w:t>
      </w:r>
    </w:p>
    <w:p>
      <w:pPr>
        <w:spacing w:after="40"/>
      </w:pPr>
      <w:r>
        <w:t>4. Confirmed Decisions (from Discovery)</w:t>
      </w:r>
    </w:p>
    <w:p>
      <w:pPr>
        <w:spacing w:after="40"/>
      </w:pPr>
      <w:r>
        <w:t>5. Business Requirements</w:t>
      </w:r>
    </w:p>
    <w:p>
      <w:pPr>
        <w:spacing w:after="40"/>
      </w:pPr>
      <w:r>
        <w:t>6. Use Cases</w:t>
      </w:r>
    </w:p>
    <w:p>
      <w:pPr>
        <w:spacing w:after="40"/>
      </w:pPr>
      <w:r>
        <w:t>7. Data Requirements</w:t>
      </w:r>
    </w:p>
    <w:p>
      <w:pPr>
        <w:spacing w:after="40"/>
      </w:pPr>
      <w:r>
        <w:t>8. Remaining Open Questions</w:t>
      </w:r>
    </w:p>
    <w:p>
      <w:r>
        <w:br w:type="page"/>
      </w:r>
    </w:p>
    <w:p>
      <w:pPr>
        <w:pStyle w:val="Heading1"/>
      </w:pPr>
      <w:r>
        <w:rPr>
          <w:color w:val="003087"/>
        </w:rPr>
        <w:t>1. Executive Summary</w:t>
      </w:r>
    </w:p>
    <w:p>
      <w:r>
        <w:t>NTT DATA seeks an interactive, agentic AI system — the “One NTT Sales Bot” — that serves as a virtual teammate for the NTT DATA sales organization. The system will join Microsoft Teams meetings as a participant, deliver pre-configured product presentations with voice narration, answer real-time Q&amp;A from a continuously-updated knowledge base (Confluence, Hot Spot portal, product documentation), and act as an always-available digital assistant for product knowledge.</w:t>
      </w:r>
    </w:p>
    <w:p>
      <w:r>
        <w:t>The bot will start with the Cloud Services Group and expand across the organization. Shreeshan Rangayan envisions a growing catalog of configurable demos — one per product or practice area — that any sales rep can launch on demand.</w:t>
      </w:r>
    </w:p>
    <w:p>
      <w:r>
        <w:t>This document captures the business requirements gathered from discovery sessions on April 1–2, 2026 with Shreeshan Rangayan (NTT DATA) and the Kore.ai partnership team. It is intended as the foundation for subsequent design, scoping, and POC planning.</w:t>
      </w:r>
    </w:p>
    <w:p>
      <w:pPr>
        <w:pStyle w:val="Heading1"/>
      </w:pPr>
      <w:r>
        <w:rPr>
          <w:color w:val="003087"/>
        </w:rPr>
        <w:t>2. Business Context</w:t>
      </w:r>
    </w:p>
    <w:p>
      <w:pPr>
        <w:pStyle w:val="Heading2"/>
      </w:pPr>
      <w:r>
        <w:rPr>
          <w:color w:val="003087"/>
        </w:rPr>
        <w:t>The Problem</w:t>
      </w:r>
    </w:p>
    <w:p>
      <w:pPr>
        <w:pStyle w:val="ListBullet"/>
      </w:pPr>
      <w:r>
        <w:t>Product information is scattered across Confluence, Hot Spot portal, Seismic, slide decks, and brochures</w:t>
      </w:r>
    </w:p>
    <w:p>
      <w:pPr>
        <w:pStyle w:val="ListBullet"/>
      </w:pPr>
      <w:r>
        <w:t>Sales reps spend significant time researching products before client calls</w:t>
      </w:r>
    </w:p>
    <w:p>
      <w:pPr>
        <w:pStyle w:val="ListBullet"/>
      </w:pPr>
      <w:r>
        <w:t>Inconsistent messaging and positioning across the sales organization</w:t>
      </w:r>
    </w:p>
    <w:p>
      <w:pPr>
        <w:pStyle w:val="ListBullet"/>
      </w:pPr>
      <w:r>
        <w:t>Subject-matter experts like Shreeshan are bottlenecks — reps come to them for answers that could be automated</w:t>
      </w:r>
    </w:p>
    <w:p>
      <w:pPr>
        <w:pStyle w:val="ListBullet"/>
      </w:pPr>
      <w:r>
        <w:t>No interactive, on-demand way to get up to speed on products quickly</w:t>
      </w:r>
    </w:p>
    <w:p>
      <w:pPr>
        <w:pStyle w:val="ListBullet"/>
      </w:pPr>
      <w:r>
        <w:t>New sales reps face a steep learning curve on the product portfolio</w:t>
      </w:r>
    </w:p>
    <w:p>
      <w:pPr>
        <w:pStyle w:val="Heading2"/>
      </w:pPr>
      <w:r>
        <w:rPr>
          <w:color w:val="003087"/>
        </w:rPr>
        <w:t>The Vision</w:t>
      </w:r>
    </w:p>
    <w:p>
      <w:r>
        <w:t>A virtual teammate that knows everything about NTT DATA’s cloud services portfolio. It can be added to Teams calls to present slides, answer real-time questions, and serve as a 24/7 digital assistant. When it doesn’t know something, it logs the question so the knowledge base can be updated — creating a continuous improvement cycle.</w:t>
      </w:r>
    </w:p>
    <w:p>
      <w:pPr>
        <w:pStyle w:val="Heading2"/>
      </w:pPr>
      <w:r>
        <w:rPr>
          <w:color w:val="003087"/>
        </w:rPr>
        <w:t>Business Value</w:t>
      </w:r>
    </w:p>
    <w:p>
      <w:pPr>
        <w:pStyle w:val="ListBullet"/>
      </w:pPr>
      <w:r>
        <w:rPr>
          <w:b/>
        </w:rPr>
        <w:t xml:space="preserve">Time Savings: </w:t>
      </w:r>
      <w:r>
        <w:t>Reduce research time for sales reps from hours to minutes</w:t>
      </w:r>
    </w:p>
    <w:p>
      <w:pPr>
        <w:pStyle w:val="ListBullet"/>
      </w:pPr>
      <w:r>
        <w:rPr>
          <w:b/>
        </w:rPr>
        <w:t xml:space="preserve">Consistency: </w:t>
      </w:r>
      <w:r>
        <w:t>Consistent, accurate product messaging across the entire sales org</w:t>
      </w:r>
    </w:p>
    <w:p>
      <w:pPr>
        <w:pStyle w:val="ListBullet"/>
      </w:pPr>
      <w:r>
        <w:rPr>
          <w:b/>
        </w:rPr>
        <w:t xml:space="preserve">Onboarding: </w:t>
      </w:r>
      <w:r>
        <w:t>New reps productive faster with AI-guided product knowledge</w:t>
      </w:r>
    </w:p>
    <w:p>
      <w:pPr>
        <w:pStyle w:val="ListBullet"/>
      </w:pPr>
      <w:r>
        <w:rPr>
          <w:b/>
        </w:rPr>
        <w:t xml:space="preserve">Scalability: </w:t>
      </w:r>
      <w:r>
        <w:t>Eliminates bottleneck on subject-matter experts for routine product questions</w:t>
      </w:r>
    </w:p>
    <w:p>
      <w:pPr>
        <w:pStyle w:val="ListBullet"/>
      </w:pPr>
      <w:r>
        <w:rPr>
          <w:b/>
        </w:rPr>
        <w:t xml:space="preserve">Availability: </w:t>
      </w:r>
      <w:r>
        <w:t>Available 24/7, across time zones, in multiple languages</w:t>
      </w:r>
    </w:p>
    <w:p>
      <w:pPr>
        <w:pStyle w:val="ListBullet"/>
      </w:pPr>
      <w:r>
        <w:rPr>
          <w:b/>
        </w:rPr>
        <w:t xml:space="preserve">Currency: </w:t>
      </w:r>
      <w:r>
        <w:t>Continuously updated as Confluence and product documentation changes</w:t>
      </w:r>
    </w:p>
    <w:p>
      <w:pPr>
        <w:pStyle w:val="Heading2"/>
      </w:pPr>
      <w:r>
        <w:rPr>
          <w:color w:val="003087"/>
        </w:rPr>
        <w:t>Target Users &amp; Volume (Confirmed Apr 2)</w:t>
      </w:r>
    </w:p>
    <w:p>
      <w:pPr>
        <w:pStyle w:val="ListBullet"/>
      </w:pPr>
      <w:r>
        <w:t>200+ NTT DATA sales representatives in the Cloud Services Group</w:t>
      </w:r>
    </w:p>
    <w:p>
      <w:pPr>
        <w:pStyle w:val="ListBullet"/>
      </w:pPr>
      <w:r>
        <w:t>Each user expected to run ~10 sessions per month (demos + Q&amp;A)</w:t>
      </w:r>
    </w:p>
    <w:p>
      <w:pPr>
        <w:pStyle w:val="ListBullet"/>
      </w:pPr>
      <w:r>
        <w:t>Estimated initial volume: 2,000+ sessions per month</w:t>
      </w:r>
    </w:p>
    <w:p>
      <w:pPr>
        <w:pStyle w:val="ListBullet"/>
      </w:pPr>
      <w:r>
        <w:t>Usage includes both formal demo presentations and ad-hoc product Q&amp;A</w:t>
      </w:r>
    </w:p>
    <w:p>
      <w:pPr>
        <w:pStyle w:val="ListBullet"/>
      </w:pPr>
      <w:r>
        <w:t>Starting with One NTT Platform; expanding to FinOps, Cloud, and all other practices</w:t>
      </w:r>
    </w:p>
    <w:p>
      <w:r>
        <w:br w:type="page"/>
      </w:r>
    </w:p>
    <w:p>
      <w:pPr>
        <w:pStyle w:val="Heading1"/>
      </w:pPr>
      <w:r>
        <w:rPr>
          <w:color w:val="003087"/>
        </w:rPr>
        <w:t>3. Stakeholders</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Name</w:t>
            </w:r>
          </w:p>
        </w:tc>
        <w:tc>
          <w:tcPr>
            <w:tcW w:type="dxa" w:w="3135"/>
          </w:tcPr>
          <w:p>
            <w:r>
              <w:rPr>
                <w:b/>
              </w:rPr>
              <w:t>Role</w:t>
            </w:r>
          </w:p>
        </w:tc>
        <w:tc>
          <w:tcPr>
            <w:tcW w:type="dxa" w:w="3135"/>
          </w:tcPr>
          <w:p>
            <w:r>
              <w:rPr>
                <w:b/>
              </w:rPr>
              <w:t>Organization</w:t>
            </w:r>
          </w:p>
        </w:tc>
      </w:tr>
      <w:tr>
        <w:tc>
          <w:tcPr>
            <w:tcW w:type="dxa" w:w="3135"/>
          </w:tcPr>
          <w:p>
            <w:r>
              <w:t>Shreeshan Rangayan</w:t>
            </w:r>
          </w:p>
        </w:tc>
        <w:tc>
          <w:tcPr>
            <w:tcW w:type="dxa" w:w="3135"/>
          </w:tcPr>
          <w:p>
            <w:r>
              <w:t>Project Lead</w:t>
            </w:r>
          </w:p>
        </w:tc>
        <w:tc>
          <w:tcPr>
            <w:tcW w:type="dxa" w:w="3135"/>
          </w:tcPr>
          <w:p>
            <w:r>
              <w:t>NTT DATA</w:t>
            </w:r>
          </w:p>
        </w:tc>
      </w:tr>
      <w:tr>
        <w:tc>
          <w:tcPr>
            <w:tcW w:type="dxa" w:w="3135"/>
          </w:tcPr>
          <w:p>
            <w:r>
              <w:t>Wiley Oliver</w:t>
            </w:r>
          </w:p>
        </w:tc>
        <w:tc>
          <w:tcPr>
            <w:tcW w:type="dxa" w:w="3135"/>
          </w:tcPr>
          <w:p>
            <w:r>
              <w:t>Executive Sponsor</w:t>
            </w:r>
          </w:p>
        </w:tc>
        <w:tc>
          <w:tcPr>
            <w:tcW w:type="dxa" w:w="3135"/>
          </w:tcPr>
          <w:p>
            <w:r>
              <w:t>NTT DATA</w:t>
            </w:r>
          </w:p>
        </w:tc>
      </w:tr>
      <w:tr>
        <w:tc>
          <w:tcPr>
            <w:tcW w:type="dxa" w:w="3135"/>
          </w:tcPr>
          <w:p>
            <w:r>
              <w:t>Gradius</w:t>
            </w:r>
          </w:p>
        </w:tc>
        <w:tc>
          <w:tcPr>
            <w:tcW w:type="dxa" w:w="3135"/>
          </w:tcPr>
          <w:p>
            <w:r>
              <w:t>Implementation Partner (Kore.ai vendor)</w:t>
            </w:r>
          </w:p>
        </w:tc>
        <w:tc>
          <w:tcPr>
            <w:tcW w:type="dxa" w:w="3135"/>
          </w:tcPr>
          <w:p>
            <w:r>
              <w:t>Kore.ai ecosystem</w:t>
            </w:r>
          </w:p>
        </w:tc>
      </w:tr>
      <w:tr>
        <w:tc>
          <w:tcPr>
            <w:tcW w:type="dxa" w:w="3135"/>
          </w:tcPr>
          <w:p>
            <w:r>
              <w:t>Mike Ashe</w:t>
            </w:r>
          </w:p>
        </w:tc>
        <w:tc>
          <w:tcPr>
            <w:tcW w:type="dxa" w:w="3135"/>
          </w:tcPr>
          <w:p>
            <w:r>
              <w:t>Account Lead</w:t>
            </w:r>
          </w:p>
        </w:tc>
        <w:tc>
          <w:tcPr>
            <w:tcW w:type="dxa" w:w="3135"/>
          </w:tcPr>
          <w:p>
            <w:r>
              <w:t>Kore.ai</w:t>
            </w:r>
          </w:p>
        </w:tc>
      </w:tr>
      <w:tr>
        <w:tc>
          <w:tcPr>
            <w:tcW w:type="dxa" w:w="3135"/>
          </w:tcPr>
          <w:p>
            <w:r>
              <w:t>Michael Dsousa</w:t>
            </w:r>
          </w:p>
        </w:tc>
        <w:tc>
          <w:tcPr>
            <w:tcW w:type="dxa" w:w="3135"/>
          </w:tcPr>
          <w:p>
            <w:r>
              <w:t>Relationship Manager</w:t>
            </w:r>
          </w:p>
        </w:tc>
        <w:tc>
          <w:tcPr>
            <w:tcW w:type="dxa" w:w="3135"/>
          </w:tcPr>
          <w:p>
            <w:r>
              <w:t>Kore.ai</w:t>
            </w:r>
          </w:p>
        </w:tc>
      </w:tr>
      <w:tr>
        <w:tc>
          <w:tcPr>
            <w:tcW w:type="dxa" w:w="3135"/>
          </w:tcPr>
          <w:p>
            <w:r>
              <w:t>Deepak Anand</w:t>
            </w:r>
          </w:p>
        </w:tc>
        <w:tc>
          <w:tcPr>
            <w:tcW w:type="dxa" w:w="3135"/>
          </w:tcPr>
          <w:p>
            <w:r>
              <w:t>Solutions Architect</w:t>
            </w:r>
          </w:p>
        </w:tc>
        <w:tc>
          <w:tcPr>
            <w:tcW w:type="dxa" w:w="3135"/>
          </w:tcPr>
          <w:p>
            <w:r>
              <w:t>Kore.ai</w:t>
            </w:r>
          </w:p>
        </w:tc>
      </w:tr>
    </w:tbl>
    <w:p/>
    <w:p>
      <w:r>
        <w:rPr>
          <w:b/>
        </w:rPr>
        <w:t xml:space="preserve">Note: </w:t>
      </w:r>
      <w:r>
        <w:t>Gradius is a Kore.ai vendor recently onboarded by NTT DATA. They currently support NTT DATA on MetLife and other existing Kore platform work. Many team members are former Kore.ai employees. Gradius will be responsible for building the solution.</w:t>
      </w:r>
    </w:p>
    <w:p>
      <w:r>
        <w:br w:type="page"/>
      </w:r>
    </w:p>
    <w:p>
      <w:pPr>
        <w:pStyle w:val="Heading1"/>
      </w:pPr>
      <w:r>
        <w:rPr>
          <w:color w:val="003087"/>
        </w:rPr>
        <w:t>4. Confirmed Decisions (from Discovery)</w:t>
      </w:r>
    </w:p>
    <w:p>
      <w:r>
        <w:t>The following items were confirmed during the April 1–2 discovery sessions with Shreeshan Rangayan.</w:t>
      </w:r>
    </w:p>
    <w:tbl>
      <w:tblPr>
        <w:tblStyle w:val="LightGrid-Accent1"/>
        <w:tblW w:type="auto" w:w="0"/>
        <w:tblLook w:firstColumn="1" w:firstRow="1" w:lastColumn="0" w:lastRow="0" w:noHBand="0" w:noVBand="1" w:val="04A0"/>
      </w:tblPr>
      <w:tblGrid>
        <w:gridCol w:w="4703"/>
        <w:gridCol w:w="4703"/>
      </w:tblGrid>
      <w:tr>
        <w:tc>
          <w:tcPr>
            <w:tcW w:type="dxa" w:w="4703"/>
          </w:tcPr>
          <w:p>
            <w:r>
              <w:rPr>
                <w:b/>
              </w:rPr>
              <w:t>Topic</w:t>
            </w:r>
          </w:p>
        </w:tc>
        <w:tc>
          <w:tcPr>
            <w:tcW w:type="dxa" w:w="4703"/>
          </w:tcPr>
          <w:p>
            <w:r>
              <w:rPr>
                <w:b/>
              </w:rPr>
              <w:t>Decision</w:t>
            </w:r>
          </w:p>
        </w:tc>
      </w:tr>
      <w:tr>
        <w:tc>
          <w:tcPr>
            <w:tcW w:type="dxa" w:w="4703"/>
          </w:tcPr>
          <w:p>
            <w:r>
              <w:t>Usage Model</w:t>
            </w:r>
          </w:p>
        </w:tc>
        <w:tc>
          <w:tcPr>
            <w:tcW w:type="dxa" w:w="4703"/>
          </w:tcPr>
          <w:p>
            <w:r>
              <w:t>Internal use only. The bot is for NTT DATA’s sales organization. Presentations may be delivered to external customers, but the tool itself is internal.</w:t>
            </w:r>
          </w:p>
        </w:tc>
      </w:tr>
      <w:tr>
        <w:tc>
          <w:tcPr>
            <w:tcW w:type="dxa" w:w="4703"/>
          </w:tcPr>
          <w:p>
            <w:r>
              <w:t>Volume</w:t>
            </w:r>
          </w:p>
        </w:tc>
        <w:tc>
          <w:tcPr>
            <w:tcW w:type="dxa" w:w="4703"/>
          </w:tcPr>
          <w:p>
            <w:r>
              <w:t>200+ users, each running ~10 sessions/month. Initial volume: 2,000+ sessions/month. Includes both formal demos and ad-hoc Q&amp;A.</w:t>
            </w:r>
          </w:p>
        </w:tc>
      </w:tr>
      <w:tr>
        <w:tc>
          <w:tcPr>
            <w:tcW w:type="dxa" w:w="4703"/>
          </w:tcPr>
          <w:p>
            <w:r>
              <w:t>Implementation Partner</w:t>
            </w:r>
          </w:p>
        </w:tc>
        <w:tc>
          <w:tcPr>
            <w:tcW w:type="dxa" w:w="4703"/>
          </w:tcPr>
          <w:p>
            <w:r>
              <w:t>Gradius (Kore.ai vendor) will build the solution. NTT DATA has already onboarded them as a vendor.</w:t>
            </w:r>
          </w:p>
        </w:tc>
      </w:tr>
      <w:tr>
        <w:tc>
          <w:tcPr>
            <w:tcW w:type="dxa" w:w="4703"/>
          </w:tcPr>
          <w:p>
            <w:r>
              <w:t>Voice</w:t>
            </w:r>
          </w:p>
        </w:tc>
        <w:tc>
          <w:tcPr>
            <w:tcW w:type="dxa" w:w="4703"/>
          </w:tcPr>
          <w:p>
            <w:r>
              <w:t>Voice narration is critical and required. Approach: start with text-based interaction, then layer in voice. Voice responses should be concise — for lengthy answers, the bot should offer to send a document or email rather than speaking at length.</w:t>
            </w:r>
          </w:p>
        </w:tc>
      </w:tr>
      <w:tr>
        <w:tc>
          <w:tcPr>
            <w:tcW w:type="dxa" w:w="4703"/>
          </w:tcPr>
          <w:p>
            <w:r>
              <w:t>Data Sources</w:t>
            </w:r>
          </w:p>
        </w:tc>
        <w:tc>
          <w:tcPr>
            <w:tcW w:type="dxa" w:w="4703"/>
          </w:tcPr>
          <w:p>
            <w:r>
              <w:t>Three primary sources: (1) Confluence — all technical documentation, (2) Hot Spot — NTT DATA’s internal pre-sales support portal, (3) PowerPoint decks with associated scripts and documents. CRM is Salesforce.</w:t>
            </w:r>
          </w:p>
        </w:tc>
      </w:tr>
      <w:tr>
        <w:tc>
          <w:tcPr>
            <w:tcW w:type="dxa" w:w="4703"/>
          </w:tcPr>
          <w:p>
            <w:r>
              <w:t>Demo Catalog</w:t>
            </w:r>
          </w:p>
        </w:tc>
        <w:tc>
          <w:tcPr>
            <w:tcW w:type="dxa" w:w="4703"/>
          </w:tcPr>
          <w:p>
            <w:r>
              <w:t>The system should support a growing catalog of configurable demos — one per product/practice (e.g., One NTT Platform, NTT Composable, NTT Flash, Cloud, FinOps). Any sales rep can browse the catalog and launch a demo.</w:t>
            </w:r>
          </w:p>
        </w:tc>
      </w:tr>
      <w:tr>
        <w:tc>
          <w:tcPr>
            <w:tcW w:type="dxa" w:w="4703"/>
          </w:tcPr>
          <w:p>
            <w:r>
              <w:t>Virtual Teammate Model</w:t>
            </w:r>
          </w:p>
        </w:tc>
        <w:tc>
          <w:tcPr>
            <w:tcW w:type="dxa" w:w="4703"/>
          </w:tcPr>
          <w:p>
            <w:r>
              <w:t>The bot is envisioned as a virtual meeting participant added to Teams calls. It listens to the conversation, can be addressed by name, presents slides on command, and answers Q&amp;A in real time.</w:t>
            </w:r>
          </w:p>
        </w:tc>
      </w:tr>
      <w:tr>
        <w:tc>
          <w:tcPr>
            <w:tcW w:type="dxa" w:w="4703"/>
          </w:tcPr>
          <w:p>
            <w:r>
              <w:t>Unanswered Questions</w:t>
            </w:r>
          </w:p>
        </w:tc>
        <w:tc>
          <w:tcPr>
            <w:tcW w:type="dxa" w:w="4703"/>
          </w:tcPr>
          <w:p>
            <w:r>
              <w:t>When the bot cannot answer a question, it acknowledges the gap, logs the question, and a human updates Confluence. The bot picks up the new content on its next sync — creating a continuous improvement loop.</w:t>
            </w:r>
          </w:p>
        </w:tc>
      </w:tr>
      <w:tr>
        <w:tc>
          <w:tcPr>
            <w:tcW w:type="dxa" w:w="4703"/>
          </w:tcPr>
          <w:p>
            <w:r>
              <w:t>Starting Scope</w:t>
            </w:r>
          </w:p>
        </w:tc>
        <w:tc>
          <w:tcPr>
            <w:tcW w:type="dxa" w:w="4703"/>
          </w:tcPr>
          <w:p>
            <w:r>
              <w:t>Begin with the One NTT Platform product line. Expand to other practices once proven.</w:t>
            </w:r>
          </w:p>
        </w:tc>
      </w:tr>
      <w:tr>
        <w:tc>
          <w:tcPr>
            <w:tcW w:type="dxa" w:w="4703"/>
          </w:tcPr>
          <w:p>
            <w:r>
              <w:t>Sample Data</w:t>
            </w:r>
          </w:p>
        </w:tc>
        <w:tc>
          <w:tcPr>
            <w:tcW w:type="dxa" w:w="4703"/>
          </w:tcPr>
          <w:p>
            <w:r>
              <w:t>Shreeshan will provide sample PowerPoints and associated documents to support the next phase of the POC.</w:t>
            </w:r>
          </w:p>
        </w:tc>
      </w:tr>
    </w:tbl>
    <w:p>
      <w:r>
        <w:br w:type="page"/>
      </w:r>
    </w:p>
    <w:p>
      <w:pPr>
        <w:pStyle w:val="Heading1"/>
      </w:pPr>
      <w:r>
        <w:rPr>
          <w:color w:val="003087"/>
        </w:rPr>
        <w:t>5. Business Requirements</w:t>
      </w:r>
    </w:p>
    <w:p>
      <w:r>
        <w:t>The following requirements were provided by Shreeshan Rangayan across the April 1–2 discovery sessions. Requirements updated in v03 are marked with ★.</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b/>
              </w:rPr>
              <w:t>ID</w:t>
            </w:r>
          </w:p>
        </w:tc>
        <w:tc>
          <w:tcPr>
            <w:tcW w:type="dxa" w:w="2351"/>
          </w:tcPr>
          <w:p>
            <w:r>
              <w:rPr>
                <w:b/>
              </w:rPr>
              <w:t>Requirement</w:t>
            </w:r>
          </w:p>
        </w:tc>
        <w:tc>
          <w:tcPr>
            <w:tcW w:type="dxa" w:w="2351"/>
          </w:tcPr>
          <w:p>
            <w:r>
              <w:rPr>
                <w:b/>
              </w:rPr>
              <w:t>Description</w:t>
            </w:r>
          </w:p>
        </w:tc>
        <w:tc>
          <w:tcPr>
            <w:tcW w:type="dxa" w:w="2351"/>
          </w:tcPr>
          <w:p>
            <w:r>
              <w:rPr>
                <w:b/>
              </w:rPr>
              <w:t>Priority</w:t>
            </w:r>
          </w:p>
        </w:tc>
      </w:tr>
      <w:tr>
        <w:tc>
          <w:tcPr>
            <w:tcW w:type="dxa" w:w="2351"/>
          </w:tcPr>
          <w:p>
            <w:r>
              <w:t>REQ-01</w:t>
            </w:r>
          </w:p>
        </w:tc>
        <w:tc>
          <w:tcPr>
            <w:tcW w:type="dxa" w:w="2351"/>
          </w:tcPr>
          <w:p>
            <w:r>
              <w:t>Agentic AI Presenter</w:t>
            </w:r>
          </w:p>
        </w:tc>
        <w:tc>
          <w:tcPr>
            <w:tcW w:type="dxa" w:w="2351"/>
          </w:tcPr>
          <w:p>
            <w:r>
              <w:t>Create subject-specific Agentic AI presenters (e.g., “One NTT Platform Specialist”) that can deliver presentations interactively.</w:t>
            </w:r>
          </w:p>
        </w:tc>
        <w:tc>
          <w:tcPr>
            <w:tcW w:type="dxa" w:w="2351"/>
          </w:tcPr>
          <w:p>
            <w:r>
              <w:t>Must</w:t>
            </w:r>
          </w:p>
        </w:tc>
      </w:tr>
      <w:tr>
        <w:tc>
          <w:tcPr>
            <w:tcW w:type="dxa" w:w="2351"/>
          </w:tcPr>
          <w:p>
            <w:r>
              <w:t>REQ-02</w:t>
            </w:r>
          </w:p>
        </w:tc>
        <w:tc>
          <w:tcPr>
            <w:tcW w:type="dxa" w:w="2351"/>
          </w:tcPr>
          <w:p>
            <w:r>
              <w:t>Supporting Material Integration</w:t>
            </w:r>
          </w:p>
        </w:tc>
        <w:tc>
          <w:tcPr>
            <w:tcW w:type="dxa" w:w="2351"/>
          </w:tcPr>
          <w:p>
            <w:r>
              <w:t>Ingest and utilize One NTT slides, presentation scripts, and Confluence content as the knowledge base.</w:t>
            </w:r>
          </w:p>
        </w:tc>
        <w:tc>
          <w:tcPr>
            <w:tcW w:type="dxa" w:w="2351"/>
          </w:tcPr>
          <w:p>
            <w:r>
              <w:t>Must</w:t>
            </w:r>
          </w:p>
        </w:tc>
      </w:tr>
      <w:tr>
        <w:tc>
          <w:tcPr>
            <w:tcW w:type="dxa" w:w="2351"/>
          </w:tcPr>
          <w:p>
            <w:r>
              <w:t>REQ-03</w:t>
            </w:r>
          </w:p>
        </w:tc>
        <w:tc>
          <w:tcPr>
            <w:tcW w:type="dxa" w:w="2351"/>
          </w:tcPr>
          <w:p>
            <w:r>
              <w:t>Demo Catalog ★</w:t>
            </w:r>
          </w:p>
        </w:tc>
        <w:tc>
          <w:tcPr>
            <w:tcW w:type="dxa" w:w="2351"/>
          </w:tcPr>
          <w:p>
            <w:r>
              <w:t>Maintain a browsable catalog of configurable demos organized by product/practice area (e.g., One NTT Platform, NTT Composable, FinOps, Cloud). Any sales rep can select and launch a demo from the catalog. The catalog grows over time as new demos are added.</w:t>
            </w:r>
          </w:p>
        </w:tc>
        <w:tc>
          <w:tcPr>
            <w:tcW w:type="dxa" w:w="2351"/>
          </w:tcPr>
          <w:p>
            <w:r>
              <w:t>Must</w:t>
            </w:r>
          </w:p>
        </w:tc>
      </w:tr>
      <w:tr>
        <w:tc>
          <w:tcPr>
            <w:tcW w:type="dxa" w:w="2351"/>
          </w:tcPr>
          <w:p>
            <w:r>
              <w:t>REQ-04</w:t>
            </w:r>
          </w:p>
        </w:tc>
        <w:tc>
          <w:tcPr>
            <w:tcW w:type="dxa" w:w="2351"/>
          </w:tcPr>
          <w:p>
            <w:r>
              <w:t>Microsoft Teams Integration</w:t>
            </w:r>
          </w:p>
        </w:tc>
        <w:tc>
          <w:tcPr>
            <w:tcW w:type="dxa" w:w="2351"/>
          </w:tcPr>
          <w:p>
            <w:r>
              <w:t>Add the Agentic AI agent into Microsoft Teams as a meeting participant for live presentation delivery and real-time Q&amp;A.</w:t>
            </w:r>
          </w:p>
        </w:tc>
        <w:tc>
          <w:tcPr>
            <w:tcW w:type="dxa" w:w="2351"/>
          </w:tcPr>
          <w:p>
            <w:r>
              <w:t>Must</w:t>
            </w:r>
          </w:p>
        </w:tc>
      </w:tr>
      <w:tr>
        <w:tc>
          <w:tcPr>
            <w:tcW w:type="dxa" w:w="2351"/>
          </w:tcPr>
          <w:p>
            <w:r>
              <w:t>REQ-05</w:t>
            </w:r>
          </w:p>
        </w:tc>
        <w:tc>
          <w:tcPr>
            <w:tcW w:type="dxa" w:w="2351"/>
          </w:tcPr>
          <w:p>
            <w:r>
              <w:t>Live Presentation Delivery</w:t>
            </w:r>
          </w:p>
        </w:tc>
        <w:tc>
          <w:tcPr>
            <w:tcW w:type="dxa" w:w="2351"/>
          </w:tcPr>
          <w:p>
            <w:r>
              <w:t>Start the Agentic AI to give a presentation to an audience in real-time, narrating slides with a configurable voice.</w:t>
            </w:r>
          </w:p>
        </w:tc>
        <w:tc>
          <w:tcPr>
            <w:tcW w:type="dxa" w:w="2351"/>
          </w:tcPr>
          <w:p>
            <w:r>
              <w:t>Must</w:t>
            </w:r>
          </w:p>
        </w:tc>
      </w:tr>
      <w:tr>
        <w:tc>
          <w:tcPr>
            <w:tcW w:type="dxa" w:w="2351"/>
          </w:tcPr>
          <w:p>
            <w:r>
              <w:t>REQ-06</w:t>
            </w:r>
          </w:p>
        </w:tc>
        <w:tc>
          <w:tcPr>
            <w:tcW w:type="dxa" w:w="2351"/>
          </w:tcPr>
          <w:p>
            <w:r>
              <w:t>Interactive Q&amp;A</w:t>
            </w:r>
          </w:p>
        </w:tc>
        <w:tc>
          <w:tcPr>
            <w:tcW w:type="dxa" w:w="2351"/>
          </w:tcPr>
          <w:p>
            <w:r>
              <w:t>Anyone in the audience can interrupt with questions during the presentation. The agent acknowledges and answers from the script, PPT content, or Confluence.</w:t>
            </w:r>
          </w:p>
        </w:tc>
        <w:tc>
          <w:tcPr>
            <w:tcW w:type="dxa" w:w="2351"/>
          </w:tcPr>
          <w:p>
            <w:r>
              <w:t>Must</w:t>
            </w:r>
          </w:p>
        </w:tc>
      </w:tr>
      <w:tr>
        <w:tc>
          <w:tcPr>
            <w:tcW w:type="dxa" w:w="2351"/>
          </w:tcPr>
          <w:p>
            <w:r>
              <w:t>REQ-07</w:t>
            </w:r>
          </w:p>
        </w:tc>
        <w:tc>
          <w:tcPr>
            <w:tcW w:type="dxa" w:w="2351"/>
          </w:tcPr>
          <w:p>
            <w:r>
              <w:t>Graceful Handling of Unknowns ★</w:t>
            </w:r>
          </w:p>
        </w:tc>
        <w:tc>
          <w:tcPr>
            <w:tcW w:type="dxa" w:w="2351"/>
          </w:tcPr>
          <w:p>
            <w:r>
              <w:t>When the agent cannot answer a question, it acknowledges the gap, says it will follow up, and captures the question in meeting minutes. These logged questions feed a continuous improvement cycle — humans update Confluence, and the bot picks up new content on its next sync.</w:t>
            </w:r>
          </w:p>
        </w:tc>
        <w:tc>
          <w:tcPr>
            <w:tcW w:type="dxa" w:w="2351"/>
          </w:tcPr>
          <w:p>
            <w:r>
              <w:t>Must</w:t>
            </w:r>
          </w:p>
        </w:tc>
      </w:tr>
      <w:tr>
        <w:tc>
          <w:tcPr>
            <w:tcW w:type="dxa" w:w="2351"/>
          </w:tcPr>
          <w:p>
            <w:r>
              <w:t>REQ-08</w:t>
            </w:r>
          </w:p>
        </w:tc>
        <w:tc>
          <w:tcPr>
            <w:tcW w:type="dxa" w:w="2351"/>
          </w:tcPr>
          <w:p>
            <w:r>
              <w:t>Confluence Content Sync ★</w:t>
            </w:r>
          </w:p>
        </w:tc>
        <w:tc>
          <w:tcPr>
            <w:tcW w:type="dxa" w:w="2351"/>
          </w:tcPr>
          <w:p>
            <w:r>
              <w:t>Scheduled synchronization with Confluence (e.g., daily). Detect and handle new, deleted, and modified content automatically so the bot is always current with technical documentation.</w:t>
            </w:r>
          </w:p>
        </w:tc>
        <w:tc>
          <w:tcPr>
            <w:tcW w:type="dxa" w:w="2351"/>
          </w:tcPr>
          <w:p>
            <w:r>
              <w:t>Must</w:t>
            </w:r>
          </w:p>
        </w:tc>
      </w:tr>
      <w:tr>
        <w:tc>
          <w:tcPr>
            <w:tcW w:type="dxa" w:w="2351"/>
          </w:tcPr>
          <w:p>
            <w:r>
              <w:t>REQ-09</w:t>
            </w:r>
          </w:p>
        </w:tc>
        <w:tc>
          <w:tcPr>
            <w:tcW w:type="dxa" w:w="2351"/>
          </w:tcPr>
          <w:p>
            <w:r>
              <w:t>Presentation Time Estimation</w:t>
            </w:r>
          </w:p>
        </w:tc>
        <w:tc>
          <w:tcPr>
            <w:tcW w:type="dxa" w:w="2351"/>
          </w:tcPr>
          <w:p>
            <w:r>
              <w:t>Ability to estimate presentation duration based on the number and content of standard slides.</w:t>
            </w:r>
          </w:p>
        </w:tc>
        <w:tc>
          <w:tcPr>
            <w:tcW w:type="dxa" w:w="2351"/>
          </w:tcPr>
          <w:p>
            <w:r>
              <w:t>Should</w:t>
            </w:r>
          </w:p>
        </w:tc>
      </w:tr>
      <w:tr>
        <w:tc>
          <w:tcPr>
            <w:tcW w:type="dxa" w:w="2351"/>
          </w:tcPr>
          <w:p>
            <w:r>
              <w:t>REQ-10</w:t>
            </w:r>
          </w:p>
        </w:tc>
        <w:tc>
          <w:tcPr>
            <w:tcW w:type="dxa" w:w="2351"/>
          </w:tcPr>
          <w:p>
            <w:r>
              <w:t>Translation and Accent Selection</w:t>
            </w:r>
          </w:p>
        </w:tc>
        <w:tc>
          <w:tcPr>
            <w:tcW w:type="dxa" w:w="2351"/>
          </w:tcPr>
          <w:p>
            <w:r>
              <w:t>Ability to translate presentation content and choose voice accent for multi-language delivery.</w:t>
            </w:r>
          </w:p>
        </w:tc>
        <w:tc>
          <w:tcPr>
            <w:tcW w:type="dxa" w:w="2351"/>
          </w:tcPr>
          <w:p>
            <w:r>
              <w:t>Should</w:t>
            </w:r>
          </w:p>
        </w:tc>
      </w:tr>
      <w:tr>
        <w:tc>
          <w:tcPr>
            <w:tcW w:type="dxa" w:w="2351"/>
          </w:tcPr>
          <w:p>
            <w:r>
              <w:t>REQ-11</w:t>
            </w:r>
          </w:p>
        </w:tc>
        <w:tc>
          <w:tcPr>
            <w:tcW w:type="dxa" w:w="2351"/>
          </w:tcPr>
          <w:p>
            <w:r>
              <w:t>Meeting Minutes Generation</w:t>
            </w:r>
          </w:p>
        </w:tc>
        <w:tc>
          <w:tcPr>
            <w:tcW w:type="dxa" w:w="2351"/>
          </w:tcPr>
          <w:p>
            <w:r>
              <w:t>Automatically generate and send meeting minutes after a presentation session, including any unanswered questions flagged for follow-up.</w:t>
            </w:r>
          </w:p>
        </w:tc>
        <w:tc>
          <w:tcPr>
            <w:tcW w:type="dxa" w:w="2351"/>
          </w:tcPr>
          <w:p>
            <w:r>
              <w:t>Must</w:t>
            </w:r>
          </w:p>
        </w:tc>
      </w:tr>
      <w:tr>
        <w:tc>
          <w:tcPr>
            <w:tcW w:type="dxa" w:w="2351"/>
          </w:tcPr>
          <w:p>
            <w:r>
              <w:t>REQ-12</w:t>
            </w:r>
          </w:p>
        </w:tc>
        <w:tc>
          <w:tcPr>
            <w:tcW w:type="dxa" w:w="2351"/>
          </w:tcPr>
          <w:p>
            <w:r>
              <w:t>Presentation Version Control</w:t>
            </w:r>
          </w:p>
        </w:tc>
        <w:tc>
          <w:tcPr>
            <w:tcW w:type="dxa" w:w="2351"/>
          </w:tcPr>
          <w:p>
            <w:r>
              <w:t>Maintain version history and change tracking for presentations in the catalog.</w:t>
            </w:r>
          </w:p>
        </w:tc>
        <w:tc>
          <w:tcPr>
            <w:tcW w:type="dxa" w:w="2351"/>
          </w:tcPr>
          <w:p>
            <w:r>
              <w:t>Should</w:t>
            </w:r>
          </w:p>
        </w:tc>
      </w:tr>
      <w:tr>
        <w:tc>
          <w:tcPr>
            <w:tcW w:type="dxa" w:w="2351"/>
          </w:tcPr>
          <w:p>
            <w:r>
              <w:t>REQ-13</w:t>
            </w:r>
          </w:p>
        </w:tc>
        <w:tc>
          <w:tcPr>
            <w:tcW w:type="dxa" w:w="2351"/>
          </w:tcPr>
          <w:p>
            <w:r>
              <w:t>Multi-Source Content Connection ★</w:t>
            </w:r>
          </w:p>
        </w:tc>
        <w:tc>
          <w:tcPr>
            <w:tcW w:type="dxa" w:w="2351"/>
          </w:tcPr>
          <w:p>
            <w:r>
              <w:t>Connect content from: (1) PowerPoint slides and notes sections, (2) associated Word documents and scripts, (3) Confluence technical documentation, (4) Hot Spot pre-sales support portal.</w:t>
            </w:r>
          </w:p>
        </w:tc>
        <w:tc>
          <w:tcPr>
            <w:tcW w:type="dxa" w:w="2351"/>
          </w:tcPr>
          <w:p>
            <w:r>
              <w:t>Must</w:t>
            </w:r>
          </w:p>
        </w:tc>
      </w:tr>
      <w:tr>
        <w:tc>
          <w:tcPr>
            <w:tcW w:type="dxa" w:w="2351"/>
          </w:tcPr>
          <w:p>
            <w:r>
              <w:t>REQ-14</w:t>
            </w:r>
          </w:p>
        </w:tc>
        <w:tc>
          <w:tcPr>
            <w:tcW w:type="dxa" w:w="2351"/>
          </w:tcPr>
          <w:p>
            <w:r>
              <w:t>Usage Reporting</w:t>
            </w:r>
          </w:p>
        </w:tc>
        <w:tc>
          <w:tcPr>
            <w:tcW w:type="dxa" w:w="2351"/>
          </w:tcPr>
          <w:p>
            <w:r>
              <w:t>Track and report the number of presentations conducted, by topic, presenter, and audience.</w:t>
            </w:r>
          </w:p>
        </w:tc>
        <w:tc>
          <w:tcPr>
            <w:tcW w:type="dxa" w:w="2351"/>
          </w:tcPr>
          <w:p>
            <w:r>
              <w:t>Should</w:t>
            </w:r>
          </w:p>
        </w:tc>
      </w:tr>
      <w:tr>
        <w:tc>
          <w:tcPr>
            <w:tcW w:type="dxa" w:w="2351"/>
          </w:tcPr>
          <w:p>
            <w:r>
              <w:t>REQ-15</w:t>
            </w:r>
          </w:p>
        </w:tc>
        <w:tc>
          <w:tcPr>
            <w:tcW w:type="dxa" w:w="2351"/>
          </w:tcPr>
          <w:p>
            <w:r>
              <w:t>CSAT Surveys</w:t>
            </w:r>
          </w:p>
        </w:tc>
        <w:tc>
          <w:tcPr>
            <w:tcW w:type="dxa" w:w="2351"/>
          </w:tcPr>
          <w:p>
            <w:r>
              <w:t>Send out CSAT surveys after presentations and collect audience feedback.</w:t>
            </w:r>
          </w:p>
        </w:tc>
        <w:tc>
          <w:tcPr>
            <w:tcW w:type="dxa" w:w="2351"/>
          </w:tcPr>
          <w:p>
            <w:r>
              <w:t>Should</w:t>
            </w:r>
          </w:p>
        </w:tc>
      </w:tr>
      <w:tr>
        <w:tc>
          <w:tcPr>
            <w:tcW w:type="dxa" w:w="2351"/>
          </w:tcPr>
          <w:p>
            <w:r>
              <w:t>REQ-16</w:t>
            </w:r>
          </w:p>
        </w:tc>
        <w:tc>
          <w:tcPr>
            <w:tcW w:type="dxa" w:w="2351"/>
          </w:tcPr>
          <w:p>
            <w:r>
              <w:t>Sentiment Analysis</w:t>
            </w:r>
          </w:p>
        </w:tc>
        <w:tc>
          <w:tcPr>
            <w:tcW w:type="dxa" w:w="2351"/>
          </w:tcPr>
          <w:p>
            <w:r>
              <w:t>Capture sentiment scores based on conversation dynamics during presentations.</w:t>
            </w:r>
          </w:p>
        </w:tc>
        <w:tc>
          <w:tcPr>
            <w:tcW w:type="dxa" w:w="2351"/>
          </w:tcPr>
          <w:p>
            <w:r>
              <w:t>Should</w:t>
            </w:r>
          </w:p>
        </w:tc>
      </w:tr>
      <w:tr>
        <w:tc>
          <w:tcPr>
            <w:tcW w:type="dxa" w:w="2351"/>
          </w:tcPr>
          <w:p>
            <w:r>
              <w:t>REQ-17</w:t>
            </w:r>
          </w:p>
        </w:tc>
        <w:tc>
          <w:tcPr>
            <w:tcW w:type="dxa" w:w="2351"/>
          </w:tcPr>
          <w:p>
            <w:r>
              <w:t>Voice Input ★ (New)</w:t>
            </w:r>
          </w:p>
        </w:tc>
        <w:tc>
          <w:tcPr>
            <w:tcW w:type="dxa" w:w="2351"/>
          </w:tcPr>
          <w:p>
            <w:r>
              <w:t>Users can ask questions and give commands via voice instead of typing. The bot should support speech-to-text input in addition to text chat.</w:t>
            </w:r>
          </w:p>
        </w:tc>
        <w:tc>
          <w:tcPr>
            <w:tcW w:type="dxa" w:w="2351"/>
          </w:tcPr>
          <w:p>
            <w:r>
              <w:t>Must</w:t>
            </w:r>
          </w:p>
        </w:tc>
      </w:tr>
      <w:tr>
        <w:tc>
          <w:tcPr>
            <w:tcW w:type="dxa" w:w="2351"/>
          </w:tcPr>
          <w:p>
            <w:r>
              <w:t>REQ-18</w:t>
            </w:r>
          </w:p>
        </w:tc>
        <w:tc>
          <w:tcPr>
            <w:tcW w:type="dxa" w:w="2351"/>
          </w:tcPr>
          <w:p>
            <w:r>
              <w:t>Concise Voice Responses ★ (New)</w:t>
            </w:r>
          </w:p>
        </w:tc>
        <w:tc>
          <w:tcPr>
            <w:tcW w:type="dxa" w:w="2351"/>
          </w:tcPr>
          <w:p>
            <w:r>
              <w:t>When responding by voice, the bot should give brief, pointed answers. For detailed or lengthy responses, it should offer to send a document or email rather than speaking at length.</w:t>
            </w:r>
          </w:p>
        </w:tc>
        <w:tc>
          <w:tcPr>
            <w:tcW w:type="dxa" w:w="2351"/>
          </w:tcPr>
          <w:p>
            <w:r>
              <w:t>Must</w:t>
            </w:r>
          </w:p>
        </w:tc>
      </w:tr>
      <w:tr>
        <w:tc>
          <w:tcPr>
            <w:tcW w:type="dxa" w:w="2351"/>
          </w:tcPr>
          <w:p>
            <w:r>
              <w:t>REQ-19</w:t>
            </w:r>
          </w:p>
        </w:tc>
        <w:tc>
          <w:tcPr>
            <w:tcW w:type="dxa" w:w="2351"/>
          </w:tcPr>
          <w:p>
            <w:r>
              <w:t>Digital Assistant Mode ★ (New)</w:t>
            </w:r>
          </w:p>
        </w:tc>
        <w:tc>
          <w:tcPr>
            <w:tcW w:type="dxa" w:w="2351"/>
          </w:tcPr>
          <w:p>
            <w:r>
              <w:t>Beyond formal demos, the bot should serve as an always-available digital assistant that any sales rep can query for quick product questions without launching a full presentation.</w:t>
            </w:r>
          </w:p>
        </w:tc>
        <w:tc>
          <w:tcPr>
            <w:tcW w:type="dxa" w:w="2351"/>
          </w:tcPr>
          <w:p>
            <w:r>
              <w:t>Must</w:t>
            </w:r>
          </w:p>
        </w:tc>
      </w:tr>
      <w:tr>
        <w:tc>
          <w:tcPr>
            <w:tcW w:type="dxa" w:w="2351"/>
          </w:tcPr>
          <w:p>
            <w:r>
              <w:t>REQ-20</w:t>
            </w:r>
          </w:p>
        </w:tc>
        <w:tc>
          <w:tcPr>
            <w:tcW w:type="dxa" w:w="2351"/>
          </w:tcPr>
          <w:p>
            <w:r>
              <w:t>Hot Spot Portal Integration ★ (New)</w:t>
            </w:r>
          </w:p>
        </w:tc>
        <w:tc>
          <w:tcPr>
            <w:tcW w:type="dxa" w:w="2351"/>
          </w:tcPr>
          <w:p>
            <w:r>
              <w:t>Integrate with Hot Spot (NTT DATA’s internal pre-sales support portal) so the bot can be accessed as a default capability within the existing pre-sales workflow.</w:t>
            </w:r>
          </w:p>
        </w:tc>
        <w:tc>
          <w:tcPr>
            <w:tcW w:type="dxa" w:w="2351"/>
          </w:tcPr>
          <w:p>
            <w:r>
              <w:t>Should</w:t>
            </w:r>
          </w:p>
        </w:tc>
      </w:tr>
    </w:tbl>
    <w:p>
      <w:r>
        <w:br w:type="page"/>
      </w:r>
    </w:p>
    <w:p>
      <w:pPr>
        <w:pStyle w:val="Heading1"/>
      </w:pPr>
      <w:r>
        <w:rPr>
          <w:color w:val="003087"/>
        </w:rPr>
        <w:t>6. Use Cases</w:t>
      </w:r>
    </w:p>
    <w:p>
      <w:pPr>
        <w:pStyle w:val="Heading2"/>
      </w:pPr>
      <w:r>
        <w:rPr>
          <w:color w:val="003087"/>
        </w:rPr>
        <w:t>UC-01: Sales Rep Self-Enablement</w:t>
      </w:r>
    </w:p>
    <w:p>
      <w:r>
        <w:t>A sales rep preparing for a customer meeting opens the Sales Bot and asks: “I need to sell cloud migration services to a financial services company. What should I position and which slides should I use?” The bot responds with a tailored positioning strategy and recommends specific slides from the corpus.</w:t>
      </w:r>
    </w:p>
    <w:p>
      <w:r>
        <w:rPr>
          <w:b/>
        </w:rPr>
        <w:t xml:space="preserve">Related Requirements: </w:t>
      </w:r>
      <w:r>
        <w:t>REQ-01, REQ-02, REQ-06, REQ-13, REQ-19</w:t>
      </w:r>
    </w:p>
    <w:p>
      <w:pPr>
        <w:pStyle w:val="Heading2"/>
      </w:pPr>
      <w:r>
        <w:rPr>
          <w:color w:val="003087"/>
        </w:rPr>
        <w:t>UC-02: Live AI-Assisted Presentation (Virtual Teammate)</w:t>
      </w:r>
    </w:p>
    <w:p>
      <w:r>
        <w:t>In a Microsoft Teams meeting with a customer, the AI agent is added as a participant. A sales leader says “Present the One NTT Cloud Platform overview.” The agent narrates the presentation with voice. A customer interrupts: “What LLM do you use?” The agent answers from Confluence. If it can’t answer, it says “Great question — let me note that and we’ll follow up” and logs the question.</w:t>
      </w:r>
    </w:p>
    <w:p>
      <w:r>
        <w:rPr>
          <w:b/>
        </w:rPr>
        <w:t xml:space="preserve">Related Requirements: </w:t>
      </w:r>
      <w:r>
        <w:t>REQ-04, REQ-05, REQ-06, REQ-07, REQ-09, REQ-17, REQ-18</w:t>
      </w:r>
    </w:p>
    <w:p>
      <w:pPr>
        <w:pStyle w:val="Heading2"/>
      </w:pPr>
      <w:r>
        <w:rPr>
          <w:color w:val="003087"/>
        </w:rPr>
        <w:t>UC-03: Digital Assistant Q&amp;A</w:t>
      </w:r>
    </w:p>
    <w:p>
      <w:r>
        <w:t>A sales rep needs a quick answer before a call. They open the bot and ask: “Does NTT DATA have FedRAMP authorization?” The bot gives a concise answer with sources. No presentation needed — just fast, accurate product knowledge on demand. This replaces the current pattern of messaging Shreeshan or other SMEs for quick answers.</w:t>
      </w:r>
    </w:p>
    <w:p>
      <w:r>
        <w:rPr>
          <w:b/>
        </w:rPr>
        <w:t xml:space="preserve">Related Requirements: </w:t>
      </w:r>
      <w:r>
        <w:t>REQ-01, REQ-08, REQ-13, REQ-17, REQ-19</w:t>
      </w:r>
    </w:p>
    <w:p>
      <w:pPr>
        <w:pStyle w:val="Heading2"/>
      </w:pPr>
      <w:r>
        <w:rPr>
          <w:color w:val="003087"/>
        </w:rPr>
        <w:t>UC-04: Demo Catalog Browse &amp; Launch</w:t>
      </w:r>
    </w:p>
    <w:p>
      <w:r>
        <w:t>A sales engineer opens the demo catalog and sees available demos: One NTT Platform, NTT Composable, NTT Flash, Cloud Services, FinOps. They select “FinOps” and configure a 10-minute version. The bot generates the presentation and is ready to deliver it in the next Teams call.</w:t>
      </w:r>
    </w:p>
    <w:p>
      <w:r>
        <w:rPr>
          <w:b/>
        </w:rPr>
        <w:t xml:space="preserve">Related Requirements: </w:t>
      </w:r>
      <w:r>
        <w:t>REQ-03, REQ-05, REQ-09, REQ-12</w:t>
      </w:r>
    </w:p>
    <w:p>
      <w:pPr>
        <w:pStyle w:val="Heading2"/>
      </w:pPr>
      <w:r>
        <w:rPr>
          <w:color w:val="003087"/>
        </w:rPr>
        <w:t>UC-05: New Hire Onboarding</w:t>
      </w:r>
    </w:p>
    <w:p>
      <w:r>
        <w:t>A new sales hire uses the bot to rapidly learn the product portfolio. They ask open-ended questions, request presentations on specific topics, and get coaching on how to position products for different industries and competitive scenarios.</w:t>
      </w:r>
    </w:p>
    <w:p>
      <w:r>
        <w:rPr>
          <w:b/>
        </w:rPr>
        <w:t xml:space="preserve">Related Requirements: </w:t>
      </w:r>
      <w:r>
        <w:t>REQ-01, REQ-03, REQ-06, REQ-13, REQ-19</w:t>
      </w:r>
    </w:p>
    <w:p>
      <w:pPr>
        <w:pStyle w:val="Heading2"/>
      </w:pPr>
      <w:r>
        <w:rPr>
          <w:color w:val="003087"/>
        </w:rPr>
        <w:t>UC-06: Post-Presentation Follow-Up</w:t>
      </w:r>
    </w:p>
    <w:p>
      <w:r>
        <w:t>After a live presentation, the system automatically generates meeting minutes capturing what was presented, questions asked, answers given, and any unanswered items flagged for follow-up. A CSAT survey is sent to attendees.</w:t>
      </w:r>
    </w:p>
    <w:p>
      <w:r>
        <w:rPr>
          <w:b/>
        </w:rPr>
        <w:t xml:space="preserve">Related Requirements: </w:t>
      </w:r>
      <w:r>
        <w:t>REQ-07, REQ-11, REQ-15, REQ-16</w:t>
      </w:r>
    </w:p>
    <w:p>
      <w:pPr>
        <w:pStyle w:val="Heading2"/>
      </w:pPr>
      <w:r>
        <w:rPr>
          <w:color w:val="003087"/>
        </w:rPr>
        <w:t>UC-07: Knowledge Gap Closure (Continuous Improvement)</w:t>
      </w:r>
    </w:p>
    <w:p>
      <w:r>
        <w:t>After a demo, the bot logged 3 unanswered questions. A product manager reviews the log, updates Confluence with the answers. The next day, the bot’s scheduled Confluence sync picks up the new content. The next time someone asks those questions, the bot answers correctly.</w:t>
      </w:r>
    </w:p>
    <w:p>
      <w:r>
        <w:rPr>
          <w:b/>
        </w:rPr>
        <w:t xml:space="preserve">Related Requirements: </w:t>
      </w:r>
      <w:r>
        <w:t>REQ-07, REQ-08</w:t>
      </w:r>
    </w:p>
    <w:p>
      <w:r>
        <w:br w:type="page"/>
      </w:r>
    </w:p>
    <w:p>
      <w:pPr>
        <w:pStyle w:val="Heading1"/>
      </w:pPr>
      <w:r>
        <w:rPr>
          <w:color w:val="003087"/>
        </w:rPr>
        <w:t>7. Data Requirements</w:t>
      </w:r>
    </w:p>
    <w:p>
      <w:r>
        <w:t>The following data is needed from NTT DATA to support the system:</w:t>
      </w:r>
    </w:p>
    <w:p>
      <w:pPr>
        <w:pStyle w:val="Heading2"/>
      </w:pPr>
      <w:r>
        <w:rPr>
          <w:color w:val="003087"/>
        </w:rPr>
        <w:t>Immediate Need (for POC)</w:t>
      </w:r>
    </w:p>
    <w:p>
      <w:r>
        <w:t>Shreeshan confirmed he will send sample materials. We need:</w:t>
      </w:r>
    </w:p>
    <w:p>
      <w:pPr>
        <w:pStyle w:val="ListBullet"/>
      </w:pPr>
      <w:r>
        <w:t>20–30 PowerPoint decks covering key Cloud Services Group products</w:t>
      </w:r>
    </w:p>
    <w:p>
      <w:pPr>
        <w:pStyle w:val="ListBullet"/>
      </w:pPr>
      <w:r>
        <w:t>Associated documents for those decks (scripts, narratives, Word docs)</w:t>
      </w:r>
    </w:p>
    <w:p>
      <w:pPr>
        <w:pStyle w:val="ListBullet"/>
      </w:pPr>
      <w:r>
        <w:t>Product brochures and one-pagers</w:t>
      </w:r>
    </w:p>
    <w:p>
      <w:pPr>
        <w:pStyle w:val="Heading2"/>
      </w:pPr>
      <w:r>
        <w:rPr>
          <w:color w:val="003087"/>
        </w:rPr>
        <w:t>Production Data Sources (Confirmed Apr 2)</w:t>
      </w:r>
    </w:p>
    <w:p>
      <w:pPr>
        <w:pStyle w:val="ListBullet"/>
      </w:pPr>
      <w:r>
        <w:rPr>
          <w:b/>
        </w:rPr>
        <w:t xml:space="preserve">Confluence: </w:t>
      </w:r>
      <w:r>
        <w:t>All technical documentation for Cloud Services Group</w:t>
      </w:r>
    </w:p>
    <w:p>
      <w:pPr>
        <w:pStyle w:val="ListBullet"/>
      </w:pPr>
      <w:r>
        <w:rPr>
          <w:b/>
        </w:rPr>
        <w:t xml:space="preserve">Hot Spot Portal: </w:t>
      </w:r>
      <w:r>
        <w:t>Pre-sales support portal — eventual integration target for the bot</w:t>
      </w:r>
    </w:p>
    <w:p>
      <w:pPr>
        <w:pStyle w:val="ListBullet"/>
      </w:pPr>
      <w:r>
        <w:rPr>
          <w:b/>
        </w:rPr>
        <w:t xml:space="preserve">Salesforce: </w:t>
      </w:r>
      <w:r>
        <w:t>CRM — potential source for customer context in future phases</w:t>
      </w:r>
    </w:p>
    <w:p>
      <w:pPr>
        <w:pStyle w:val="ListBullet"/>
      </w:pPr>
      <w:r>
        <w:rPr>
          <w:b/>
        </w:rPr>
        <w:t xml:space="preserve">Seismic: </w:t>
      </w:r>
      <w:r>
        <w:t>Content library (if still in use alongside Hot Spot)</w:t>
      </w:r>
    </w:p>
    <w:p>
      <w:pPr>
        <w:pStyle w:val="ListBullet"/>
      </w:pPr>
      <w:r>
        <w:rPr>
          <w:b/>
        </w:rPr>
        <w:t xml:space="preserve">Slide Decks: </w:t>
      </w:r>
      <w:r>
        <w:t>All product slide decks with notes sections and associated scripts</w:t>
      </w:r>
    </w:p>
    <w:p>
      <w:pPr>
        <w:pStyle w:val="Heading2"/>
      </w:pPr>
      <w:r>
        <w:rPr>
          <w:color w:val="003087"/>
        </w:rPr>
        <w:t>Additional Production Data (as scope expands)</w:t>
      </w:r>
    </w:p>
    <w:p>
      <w:pPr>
        <w:pStyle w:val="ListBullet"/>
      </w:pPr>
      <w:r>
        <w:t>Competitive positioning documents</w:t>
      </w:r>
    </w:p>
    <w:p>
      <w:pPr>
        <w:pStyle w:val="ListBullet"/>
      </w:pPr>
      <w:r>
        <w:t>Case studies and customer success stories</w:t>
      </w:r>
    </w:p>
    <w:p>
      <w:pPr>
        <w:pStyle w:val="ListBullet"/>
      </w:pPr>
      <w:r>
        <w:t>Technical architecture documents</w:t>
      </w:r>
    </w:p>
    <w:p>
      <w:r>
        <w:br w:type="page"/>
      </w:r>
    </w:p>
    <w:p>
      <w:pPr>
        <w:pStyle w:val="Heading1"/>
      </w:pPr>
      <w:r>
        <w:rPr>
          <w:color w:val="003087"/>
        </w:rPr>
        <w:t>8. Remaining Open Questions</w:t>
      </w:r>
    </w:p>
    <w:p>
      <w:r>
        <w:t>The following questions remain open after the April 2 discovery session. Items resolved in this session have been moved to Section 4 (Confirmed Decisions).</w:t>
      </w:r>
    </w:p>
    <w:tbl>
      <w:tblPr>
        <w:tblStyle w:val="LightGrid-Accent1"/>
        <w:tblW w:type="auto" w:w="0"/>
        <w:tblLook w:firstColumn="1" w:firstRow="1" w:lastColumn="0" w:lastRow="0" w:noHBand="0" w:noVBand="1" w:val="04A0"/>
      </w:tblPr>
      <w:tblGrid>
        <w:gridCol w:w="4703"/>
        <w:gridCol w:w="4703"/>
      </w:tblGrid>
      <w:tr>
        <w:tc>
          <w:tcPr>
            <w:tcW w:type="dxa" w:w="4703"/>
          </w:tcPr>
          <w:p>
            <w:r>
              <w:rPr>
                <w:b/>
              </w:rPr>
              <w:t>Topic</w:t>
            </w:r>
          </w:p>
        </w:tc>
        <w:tc>
          <w:tcPr>
            <w:tcW w:type="dxa" w:w="4703"/>
          </w:tcPr>
          <w:p>
            <w:r>
              <w:rPr>
                <w:b/>
              </w:rPr>
              <w:t>Question / Notes</w:t>
            </w:r>
          </w:p>
        </w:tc>
      </w:tr>
      <w:tr>
        <w:tc>
          <w:tcPr>
            <w:tcW w:type="dxa" w:w="4703"/>
          </w:tcPr>
          <w:p>
            <w:r>
              <w:t>Pricing Model</w:t>
            </w:r>
          </w:p>
        </w:tc>
        <w:tc>
          <w:tcPr>
            <w:tcW w:type="dxa" w:w="4703"/>
          </w:tcPr>
          <w:p>
            <w:r>
              <w:t>Per-session cost, platform license, or managed service engagement? How does this align with the existing $3.5M budget framework? (Mike noted this will be addressed later.)</w:t>
            </w:r>
          </w:p>
        </w:tc>
      </w:tr>
      <w:tr>
        <w:tc>
          <w:tcPr>
            <w:tcW w:type="dxa" w:w="4703"/>
          </w:tcPr>
          <w:p>
            <w:r>
              <w:t>Security &amp; Compliance</w:t>
            </w:r>
          </w:p>
        </w:tc>
        <w:tc>
          <w:tcPr>
            <w:tcW w:type="dxa" w:w="4703"/>
          </w:tcPr>
          <w:p>
            <w:r>
              <w:t>What are the data handling, security, and compliance requirements for product documentation in this system? Any restrictions on LLM providers or data residency?</w:t>
            </w:r>
          </w:p>
        </w:tc>
      </w:tr>
      <w:tr>
        <w:tc>
          <w:tcPr>
            <w:tcW w:type="dxa" w:w="4703"/>
          </w:tcPr>
          <w:p>
            <w:r>
              <w:t>Confluence Scope</w:t>
            </w:r>
          </w:p>
        </w:tc>
        <w:tc>
          <w:tcPr>
            <w:tcW w:type="dxa" w:w="4703"/>
          </w:tcPr>
          <w:p>
            <w:r>
              <w:t>Which Confluence spaces are in scope for the initial build? Who grants access? How frequently does content change?</w:t>
            </w:r>
          </w:p>
        </w:tc>
      </w:tr>
      <w:tr>
        <w:tc>
          <w:tcPr>
            <w:tcW w:type="dxa" w:w="4703"/>
          </w:tcPr>
          <w:p>
            <w:r>
              <w:t>Teams Deployment Model</w:t>
            </w:r>
          </w:p>
        </w:tc>
        <w:tc>
          <w:tcPr>
            <w:tcW w:type="dxa" w:w="4703"/>
          </w:tcPr>
          <w:p>
            <w:r>
              <w:t>What is the Teams deployment model? Is there an existing bot framework or app catalog in use? Any IT approval process for adding bots to Teams?</w:t>
            </w:r>
          </w:p>
        </w:tc>
      </w:tr>
      <w:tr>
        <w:tc>
          <w:tcPr>
            <w:tcW w:type="dxa" w:w="4703"/>
          </w:tcPr>
          <w:p>
            <w:r>
              <w:t>Success Metrics</w:t>
            </w:r>
          </w:p>
        </w:tc>
        <w:tc>
          <w:tcPr>
            <w:tcW w:type="dxa" w:w="4703"/>
          </w:tcPr>
          <w:p>
            <w:r>
              <w:t>How will NTT DATA measure success? Time saved per rep? Presentation quality? User adoption rates? Reduction in SME interruptions?</w:t>
            </w:r>
          </w:p>
        </w:tc>
      </w:tr>
      <w:tr>
        <w:tc>
          <w:tcPr>
            <w:tcW w:type="dxa" w:w="4703"/>
          </w:tcPr>
          <w:p>
            <w:r>
              <w:t>Competitive Landscape</w:t>
            </w:r>
          </w:p>
        </w:tc>
        <w:tc>
          <w:tcPr>
            <w:tcW w:type="dxa" w:w="4703"/>
          </w:tcPr>
          <w:p>
            <w:r>
              <w:t>Are other vendors being evaluated for this solution? What evaluation criteria are being used?</w:t>
            </w:r>
          </w:p>
        </w:tc>
      </w:tr>
      <w:tr>
        <w:tc>
          <w:tcPr>
            <w:tcW w:type="dxa" w:w="4703"/>
          </w:tcPr>
          <w:p>
            <w:r>
              <w:t>Hot Spot Integration Details</w:t>
            </w:r>
          </w:p>
        </w:tc>
        <w:tc>
          <w:tcPr>
            <w:tcW w:type="dxa" w:w="4703"/>
          </w:tcPr>
          <w:p>
            <w:r>
              <w:t>What technology stack does Hot Spot run on? What level of integration is expected — embedded iframe, API, or full native integration?</w:t>
            </w:r>
          </w:p>
        </w:tc>
      </w:tr>
      <w:tr>
        <w:tc>
          <w:tcPr>
            <w:tcW w:type="dxa" w:w="4703"/>
          </w:tcPr>
          <w:p>
            <w:r>
              <w:t>Sample Data Timeline</w:t>
            </w:r>
          </w:p>
        </w:tc>
        <w:tc>
          <w:tcPr>
            <w:tcW w:type="dxa" w:w="4703"/>
          </w:tcPr>
          <w:p>
            <w:r>
              <w:t>When will Shreeshan send the sample PowerPoints and associated documents? (He confirmed he would — need to follow up on timing.)</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