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Kore.ai Sentiment Analytics for Enterprise ITO</w:t>
      </w:r>
    </w:p>
    <w:p>
      <w:pPr>
        <w:pStyle w:val="Subtitle"/>
      </w:pPr>
      <w:r>
        <w:t xml:space="preserve">Solution Requirements — Trinity Health / NTT DATA</w:t>
      </w:r>
    </w:p>
    <w:p>
      <w:pPr>
        <w:pStyle w:val="Date"/>
      </w:pPr>
      <w:r>
        <w:t xml:space="preserve">v01 — 2026-04-18 06:45 PT</w:t>
      </w:r>
    </w:p>
    <w:bookmarkStart w:id="23" w:name="X1b32f81bb7431c1d657a1166d2322d890ebd551"/>
    <w:p>
      <w:pPr>
        <w:pStyle w:val="Heading1"/>
      </w:pPr>
      <w:r>
        <w:t xml:space="preserve">Kore.ai Sentiment Analytics for Enterprise ITO</w:t>
      </w:r>
    </w:p>
    <w:p>
      <w:pPr>
        <w:pStyle w:val="FirstParagraph"/>
      </w:pPr>
      <w:r>
        <w:rPr>
          <w:b/>
          <w:bCs/>
        </w:rPr>
        <w:t xml:space="preserve">Prepared for:</w:t>
      </w:r>
      <w:r>
        <w:t xml:space="preserve"> </w:t>
      </w:r>
      <w:r>
        <w:t xml:space="preserve">NTT DATA Services — Shreeshan Rangayan, Arun Mishra</w:t>
      </w:r>
    </w:p>
    <w:p>
      <w:pPr>
        <w:pStyle w:val="BodyText"/>
      </w:pPr>
      <w:r>
        <w:rPr>
          <w:b/>
          <w:bCs/>
        </w:rPr>
        <w:t xml:space="preserve">Prepared by:</w:t>
      </w:r>
      <w:r>
        <w:t xml:space="preserve"> </w:t>
      </w:r>
      <w:r>
        <w:t xml:space="preserve">Kore.ai — Mike Ashe, Michael Dsouza</w:t>
      </w:r>
    </w:p>
    <w:p>
      <w:pPr>
        <w:pStyle w:val="BodyText"/>
      </w:pPr>
      <w:r>
        <w:rPr>
          <w:b/>
          <w:bCs/>
        </w:rPr>
        <w:t xml:space="preserve">Version:</w:t>
      </w:r>
      <w:r>
        <w:t xml:space="preserve"> </w:t>
      </w:r>
      <w:r>
        <w:t xml:space="preserve">v01 — 2026-04-18</w:t>
      </w:r>
    </w:p>
    <w:p>
      <w:r>
        <w:pict>
          <v:rect style="width:0;height:1.5pt" o:hralign="center" o:hrstd="t" o:hr="t"/>
        </w:pict>
      </w:r>
    </w:p>
    <w:bookmarkStart w:id="9" w:name="executive-summary"/>
    <w:p>
      <w:pPr>
        <w:pStyle w:val="Heading2"/>
      </w:pPr>
      <w:r>
        <w:t xml:space="preserve">1. Executive Summary</w:t>
      </w:r>
    </w:p>
    <w:p>
      <w:pPr>
        <w:pStyle w:val="FirstParagraph"/>
      </w:pPr>
      <w:r>
        <w:t xml:space="preserve">NTT DATA manages IT service operations for Trinity Health across multiple facilities. Today, service quality is measured through traditional SLAs (uptime, ticket closure time). However, SLA compliance alone does not capture how end users</w:t>
      </w:r>
      <w:r>
        <w:t xml:space="preserve"> </w:t>
      </w:r>
      <w:r>
        <w:rPr>
          <w:i/>
          <w:iCs/>
        </w:rPr>
        <w:t xml:space="preserve">feel</w:t>
      </w:r>
      <w:r>
        <w:t xml:space="preserve"> </w:t>
      </w:r>
      <w:r>
        <w:t xml:space="preserve">about the support they receive.</w:t>
      </w:r>
    </w:p>
    <w:p>
      <w:pPr>
        <w:pStyle w:val="BodyText"/>
      </w:pPr>
      <w:r>
        <w:t xml:space="preserve">This solution applies AI-powered sentiment analytics to IT service desk tickets, enabling NTT DATA to measure</w:t>
      </w:r>
      <w:r>
        <w:t xml:space="preserve"> </w:t>
      </w:r>
      <w:r>
        <w:rPr>
          <w:b/>
          <w:bCs/>
        </w:rPr>
        <w:t xml:space="preserve">Experience Level Agreements (XLAs)</w:t>
      </w:r>
      <w:r>
        <w:t xml:space="preserve"> </w:t>
      </w:r>
      <w:r>
        <w:t xml:space="preserve">— quantifying user satisfaction alongside traditional SLAs. The result is an early warning system that identifies emerging dissatisfaction before it becomes a formal complaint or contract risk.</w:t>
      </w:r>
    </w:p>
    <w:p>
      <w:pPr>
        <w:pStyle w:val="BodyText"/>
      </w:pPr>
      <w:r>
        <w:rPr>
          <w:b/>
          <w:bCs/>
        </w:rPr>
        <w:t xml:space="preserve">Key value proposition:</w:t>
      </w:r>
      <w:r>
        <w:t xml:space="preserve"> </w:t>
      </w:r>
      <w:r>
        <w:t xml:space="preserve">Replace or augment the existing Foresight sentiment tool ($142K) with a more capable, lower-cost solution that provides deeper insight — specifically, the ability to distinguish between frustration with the</w:t>
      </w:r>
      <w:r>
        <w:t xml:space="preserve"> </w:t>
      </w:r>
      <w:r>
        <w:rPr>
          <w:i/>
          <w:iCs/>
        </w:rPr>
        <w:t xml:space="preserve">problem itself</w:t>
      </w:r>
      <w:r>
        <w:t xml:space="preserve"> </w:t>
      </w:r>
      <w:r>
        <w:t xml:space="preserve">versus frustration with</w:t>
      </w:r>
      <w:r>
        <w:t xml:space="preserve"> </w:t>
      </w:r>
      <w:r>
        <w:rPr>
          <w:i/>
          <w:iCs/>
        </w:rPr>
        <w:t xml:space="preserve">NTT DATA’s service response</w:t>
      </w:r>
      <w:r>
        <w:t xml:space="preserve">.</w:t>
      </w:r>
    </w:p>
    <w:p>
      <w:r>
        <w:pict>
          <v:rect style="width:0;height:1.5pt" o:hralign="center" o:hrstd="t" o:hr="t"/>
        </w:pict>
      </w:r>
    </w:p>
    <w:bookmarkEnd w:id="9"/>
    <w:bookmarkStart w:id="13" w:name="business-requirements"/>
    <w:p>
      <w:pPr>
        <w:pStyle w:val="Heading2"/>
      </w:pPr>
      <w:r>
        <w:t xml:space="preserve">2. Business Requirements</w:t>
      </w:r>
    </w:p>
    <w:bookmarkStart w:id="10" w:name="problem-statement"/>
    <w:p>
      <w:pPr>
        <w:pStyle w:val="Heading3"/>
      </w:pPr>
      <w:r>
        <w:t xml:space="preserve">2.1 Problem Statement</w:t>
      </w:r>
    </w:p>
    <w:p>
      <w:pPr>
        <w:pStyle w:val="Compact"/>
        <w:numPr>
          <w:ilvl w:val="0"/>
          <w:numId w:val="1001"/>
        </w:numPr>
      </w:pPr>
      <w:r>
        <w:t xml:space="preserve">NTT DATA can meet every SLA while Trinity Health employees remain frustrated with IT support.</w:t>
      </w:r>
    </w:p>
    <w:p>
      <w:pPr>
        <w:pStyle w:val="Compact"/>
        <w:numPr>
          <w:ilvl w:val="0"/>
          <w:numId w:val="1001"/>
        </w:numPr>
      </w:pPr>
      <w:r>
        <w:t xml:space="preserve">Negative sentiment trends in specific departments (e.g., Pharmacy, Radiology) can indicate systemic issues before they escalate to management complaints or contract renewal risk.</w:t>
      </w:r>
    </w:p>
    <w:p>
      <w:pPr>
        <w:pStyle w:val="Compact"/>
        <w:numPr>
          <w:ilvl w:val="0"/>
          <w:numId w:val="1001"/>
        </w:numPr>
      </w:pPr>
      <w:r>
        <w:t xml:space="preserve">The current Foresight tool provides basic sentiment scoring but lacks nuanced analysis of</w:t>
      </w:r>
      <w:r>
        <w:t xml:space="preserve"> </w:t>
      </w:r>
      <w:r>
        <w:rPr>
          <w:i/>
          <w:iCs/>
        </w:rPr>
        <w:t xml:space="preserve">what</w:t>
      </w:r>
      <w:r>
        <w:t xml:space="preserve"> </w:t>
      </w:r>
      <w:r>
        <w:t xml:space="preserve">users are frustrated about.</w:t>
      </w:r>
    </w:p>
    <w:bookmarkEnd w:id="10"/>
    <w:bookmarkStart w:id="11" w:name="business-objectives"/>
    <w:p>
      <w:pPr>
        <w:pStyle w:val="Heading3"/>
      </w:pPr>
      <w:r>
        <w:t xml:space="preserve">2.2 Business Objectives</w:t>
      </w:r>
    </w:p>
    <w:tbl>
      <w:tblPr>
        <w:tblStyle w:val="Table"/>
        <w:tblW w:type="pct" w:w="5000"/>
        <w:tblLayout w:type="fixed"/>
        <w:tblLook w:firstRow="1" w:lastRow="0" w:firstColumn="0" w:lastColumn="0" w:noHBand="0" w:noVBand="0" w:val="0020"/>
      </w:tblPr>
      <w:tblGrid>
        <w:gridCol w:w="819"/>
        <w:gridCol w:w="3004"/>
        <w:gridCol w:w="4096"/>
      </w:tblGrid>
      <w:tr>
        <w:trPr>
          <w:tblHeader w:val="on"/>
        </w:trPr>
        <w:tc>
          <w:tcPr/>
          <w:p>
            <w:pPr>
              <w:pStyle w:val="Compact"/>
            </w:pPr>
            <w:r>
              <w:t xml:space="preserve">#</w:t>
            </w:r>
          </w:p>
        </w:tc>
        <w:tc>
          <w:tcPr/>
          <w:p>
            <w:pPr>
              <w:pStyle w:val="Compact"/>
            </w:pPr>
            <w:r>
              <w:t xml:space="preserve">Objective</w:t>
            </w:r>
          </w:p>
        </w:tc>
        <w:tc>
          <w:tcPr/>
          <w:p>
            <w:pPr>
              <w:pStyle w:val="Compact"/>
            </w:pPr>
            <w:r>
              <w:t xml:space="preserve">Success Metric</w:t>
            </w:r>
          </w:p>
        </w:tc>
      </w:tr>
      <w:tr>
        <w:tc>
          <w:tcPr/>
          <w:p>
            <w:pPr>
              <w:pStyle w:val="Compact"/>
            </w:pPr>
            <w:r>
              <w:t xml:space="preserve">1</w:t>
            </w:r>
          </w:p>
        </w:tc>
        <w:tc>
          <w:tcPr/>
          <w:p>
            <w:pPr>
              <w:pStyle w:val="Compact"/>
            </w:pPr>
            <w:r>
              <w:t xml:space="preserve">Measure user experience beyond SLAs</w:t>
            </w:r>
          </w:p>
        </w:tc>
        <w:tc>
          <w:tcPr/>
          <w:p>
            <w:pPr>
              <w:pStyle w:val="Compact"/>
            </w:pPr>
            <w:r>
              <w:t xml:space="preserve">XLA score computed weekly per department/location</w:t>
            </w:r>
          </w:p>
        </w:tc>
      </w:tr>
      <w:tr>
        <w:tc>
          <w:tcPr/>
          <w:p>
            <w:pPr>
              <w:pStyle w:val="Compact"/>
            </w:pPr>
            <w:r>
              <w:t xml:space="preserve">2</w:t>
            </w:r>
          </w:p>
        </w:tc>
        <w:tc>
          <w:tcPr/>
          <w:p>
            <w:pPr>
              <w:pStyle w:val="Compact"/>
            </w:pPr>
            <w:r>
              <w:t xml:space="preserve">Early warning for dissatisfaction spikes</w:t>
            </w:r>
          </w:p>
        </w:tc>
        <w:tc>
          <w:tcPr/>
          <w:p>
            <w:pPr>
              <w:pStyle w:val="Compact"/>
            </w:pPr>
            <w:r>
              <w:t xml:space="preserve">Alerts when department sentiment drops below threshold</w:t>
            </w:r>
          </w:p>
        </w:tc>
      </w:tr>
      <w:tr>
        <w:tc>
          <w:tcPr/>
          <w:p>
            <w:pPr>
              <w:pStyle w:val="Compact"/>
            </w:pPr>
            <w:r>
              <w:t xml:space="preserve">3</w:t>
            </w:r>
          </w:p>
        </w:tc>
        <w:tc>
          <w:tcPr/>
          <w:p>
            <w:pPr>
              <w:pStyle w:val="Compact"/>
            </w:pPr>
            <w:r>
              <w:t xml:space="preserve">Distinguish problem frustration from service frustration</w:t>
            </w:r>
          </w:p>
        </w:tc>
        <w:tc>
          <w:tcPr/>
          <w:p>
            <w:pPr>
              <w:pStyle w:val="Compact"/>
            </w:pPr>
            <w:r>
              <w:t xml:space="preserve">Each ticket tagged with frustration target</w:t>
            </w:r>
          </w:p>
        </w:tc>
      </w:tr>
      <w:tr>
        <w:tc>
          <w:tcPr/>
          <w:p>
            <w:pPr>
              <w:pStyle w:val="Compact"/>
            </w:pPr>
            <w:r>
              <w:t xml:space="preserve">4</w:t>
            </w:r>
          </w:p>
        </w:tc>
        <w:tc>
          <w:tcPr/>
          <w:p>
            <w:pPr>
              <w:pStyle w:val="Compact"/>
            </w:pPr>
            <w:r>
              <w:t xml:space="preserve">Provide actionable response recommendations</w:t>
            </w:r>
          </w:p>
        </w:tc>
        <w:tc>
          <w:tcPr/>
          <w:p>
            <w:pPr>
              <w:pStyle w:val="Compact"/>
            </w:pPr>
            <w:r>
              <w:t xml:space="preserve">Per-ticket recommended action for service desk</w:t>
            </w:r>
          </w:p>
        </w:tc>
      </w:tr>
      <w:tr>
        <w:tc>
          <w:tcPr/>
          <w:p>
            <w:pPr>
              <w:pStyle w:val="Compact"/>
            </w:pPr>
            <w:r>
              <w:t xml:space="preserve">5</w:t>
            </w:r>
          </w:p>
        </w:tc>
        <w:tc>
          <w:tcPr/>
          <w:p>
            <w:pPr>
              <w:pStyle w:val="Compact"/>
            </w:pPr>
            <w:r>
              <w:t xml:space="preserve">Reduce sentiment analytics cost</w:t>
            </w:r>
          </w:p>
        </w:tc>
        <w:tc>
          <w:tcPr/>
          <w:p>
            <w:pPr>
              <w:pStyle w:val="Compact"/>
            </w:pPr>
            <w:r>
              <w:t xml:space="preserve">Total cost below current Foresight spend ($142K/yr)</w:t>
            </w:r>
          </w:p>
        </w:tc>
      </w:tr>
    </w:tbl>
    <w:bookmarkEnd w:id="11"/>
    <w:bookmarkStart w:id="12" w:name="scope"/>
    <w:p>
      <w:pPr>
        <w:pStyle w:val="Heading3"/>
      </w:pPr>
      <w:r>
        <w:t xml:space="preserve">2.3 Scope</w:t>
      </w:r>
    </w:p>
    <w:p>
      <w:pPr>
        <w:pStyle w:val="FirstParagraph"/>
      </w:pPr>
      <w:r>
        <w:rPr>
          <w:b/>
          <w:bCs/>
        </w:rPr>
        <w:t xml:space="preserve">In scope for initial deployment:</w:t>
      </w:r>
    </w:p>
    <w:p>
      <w:pPr>
        <w:pStyle w:val="Compact"/>
        <w:numPr>
          <w:ilvl w:val="0"/>
          <w:numId w:val="1002"/>
        </w:numPr>
      </w:pPr>
      <w:r>
        <w:t xml:space="preserve">Sentiment analysis of ServiceNow incident tickets (description, customer comments, work notes)</w:t>
      </w:r>
    </w:p>
    <w:p>
      <w:pPr>
        <w:pStyle w:val="Compact"/>
        <w:numPr>
          <w:ilvl w:val="0"/>
          <w:numId w:val="1002"/>
        </w:numPr>
      </w:pPr>
      <w:r>
        <w:t xml:space="preserve">Per-ticket scoring: sentiment (positive/neutral/negative), frustration target, key phrases, reasoning</w:t>
      </w:r>
    </w:p>
    <w:p>
      <w:pPr>
        <w:pStyle w:val="Compact"/>
        <w:numPr>
          <w:ilvl w:val="0"/>
          <w:numId w:val="1002"/>
        </w:numPr>
      </w:pPr>
      <w:r>
        <w:t xml:space="preserve">Aggregate dashboards: XLA scores by department, location, category, and time period</w:t>
      </w:r>
    </w:p>
    <w:p>
      <w:pPr>
        <w:pStyle w:val="Compact"/>
        <w:numPr>
          <w:ilvl w:val="0"/>
          <w:numId w:val="1002"/>
        </w:numPr>
      </w:pPr>
      <w:r>
        <w:t xml:space="preserve">Alert generation for negative sentiment trends</w:t>
      </w:r>
    </w:p>
    <w:p>
      <w:pPr>
        <w:pStyle w:val="Compact"/>
        <w:numPr>
          <w:ilvl w:val="0"/>
          <w:numId w:val="1002"/>
        </w:numPr>
      </w:pPr>
      <w:r>
        <w:t xml:space="preserve">Integration with ServiceNow data exports (CSV/API)</w:t>
      </w:r>
    </w:p>
    <w:p>
      <w:pPr>
        <w:pStyle w:val="FirstParagraph"/>
      </w:pPr>
      <w:r>
        <w:rPr>
          <w:b/>
          <w:bCs/>
        </w:rPr>
        <w:t xml:space="preserve">Future phases (not in initial scope):</w:t>
      </w:r>
    </w:p>
    <w:p>
      <w:pPr>
        <w:pStyle w:val="Compact"/>
        <w:numPr>
          <w:ilvl w:val="0"/>
          <w:numId w:val="1003"/>
        </w:numPr>
      </w:pPr>
      <w:r>
        <w:t xml:space="preserve">Real-time chat/email sentiment analysis</w:t>
      </w:r>
    </w:p>
    <w:p>
      <w:pPr>
        <w:pStyle w:val="Compact"/>
        <w:numPr>
          <w:ilvl w:val="0"/>
          <w:numId w:val="1003"/>
        </w:numPr>
      </w:pPr>
      <w:r>
        <w:t xml:space="preserve">Agent empathy scoring (evaluating IT staff responses)</w:t>
      </w:r>
    </w:p>
    <w:p>
      <w:pPr>
        <w:pStyle w:val="Compact"/>
        <w:numPr>
          <w:ilvl w:val="0"/>
          <w:numId w:val="1003"/>
        </w:numPr>
      </w:pPr>
      <w:r>
        <w:t xml:space="preserve">Sentiment-based ticket routing (auto-escalate angry users)</w:t>
      </w:r>
    </w:p>
    <w:p>
      <w:pPr>
        <w:pStyle w:val="Compact"/>
        <w:numPr>
          <w:ilvl w:val="0"/>
          <w:numId w:val="1003"/>
        </w:numPr>
      </w:pPr>
      <w:r>
        <w:t xml:space="preserve">Voice call sentiment analysis</w:t>
      </w:r>
    </w:p>
    <w:p>
      <w:pPr>
        <w:pStyle w:val="Compact"/>
        <w:numPr>
          <w:ilvl w:val="0"/>
          <w:numId w:val="1003"/>
        </w:numPr>
      </w:pPr>
      <w:r>
        <w:t xml:space="preserve">Integration with additional ITSM platforms beyond ServiceNow</w:t>
      </w:r>
    </w:p>
    <w:p>
      <w:r>
        <w:pict>
          <v:rect style="width:0;height:1.5pt" o:hralign="center" o:hrstd="t" o:hr="t"/>
        </w:pict>
      </w:r>
    </w:p>
    <w:bookmarkEnd w:id="12"/>
    <w:bookmarkEnd w:id="13"/>
    <w:bookmarkStart w:id="17" w:name="functional-requirements"/>
    <w:p>
      <w:pPr>
        <w:pStyle w:val="Heading2"/>
      </w:pPr>
      <w:r>
        <w:t xml:space="preserve">3. Functional Requirements</w:t>
      </w:r>
    </w:p>
    <w:bookmarkStart w:id="14" w:name="ticket-sentiment-analysis"/>
    <w:p>
      <w:pPr>
        <w:pStyle w:val="Heading3"/>
      </w:pPr>
      <w:r>
        <w:t xml:space="preserve">3.1 Ticket Sentiment Analysis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F-01</w:t>
            </w:r>
          </w:p>
        </w:tc>
        <w:tc>
          <w:tcPr/>
          <w:p>
            <w:pPr>
              <w:pStyle w:val="Compact"/>
            </w:pPr>
            <w:r>
              <w:t xml:space="preserve">Analyze free-text fields (description, comments, work notes) for customer sentiment</w:t>
            </w:r>
          </w:p>
        </w:tc>
        <w:tc>
          <w:tcPr/>
          <w:p>
            <w:pPr>
              <w:pStyle w:val="Compact"/>
            </w:pPr>
            <w:r>
              <w:t xml:space="preserve">Must Have</w:t>
            </w:r>
          </w:p>
        </w:tc>
      </w:tr>
      <w:tr>
        <w:tc>
          <w:tcPr/>
          <w:p>
            <w:pPr>
              <w:pStyle w:val="Compact"/>
            </w:pPr>
            <w:r>
              <w:t xml:space="preserve">F-02</w:t>
            </w:r>
          </w:p>
        </w:tc>
        <w:tc>
          <w:tcPr/>
          <w:p>
            <w:pPr>
              <w:pStyle w:val="Compact"/>
            </w:pPr>
            <w:r>
              <w:t xml:space="preserve">Classify each ticket as Positive, Neutral, or Negative with a numeric score (-1.0 to +1.0)</w:t>
            </w:r>
          </w:p>
        </w:tc>
        <w:tc>
          <w:tcPr/>
          <w:p>
            <w:pPr>
              <w:pStyle w:val="Compact"/>
            </w:pPr>
            <w:r>
              <w:t xml:space="preserve">Must Have</w:t>
            </w:r>
          </w:p>
        </w:tc>
      </w:tr>
      <w:tr>
        <w:tc>
          <w:tcPr/>
          <w:p>
            <w:pPr>
              <w:pStyle w:val="Compact"/>
            </w:pPr>
            <w:r>
              <w:t xml:space="preserve">F-03</w:t>
            </w:r>
          </w:p>
        </w:tc>
        <w:tc>
          <w:tcPr/>
          <w:p>
            <w:pPr>
              <w:pStyle w:val="Compact"/>
            </w:pPr>
            <w:r>
              <w:t xml:space="preserve">Identify frustration target: Problem Itself, Service Provider, Both, or None</w:t>
            </w:r>
          </w:p>
        </w:tc>
        <w:tc>
          <w:tcPr/>
          <w:p>
            <w:pPr>
              <w:pStyle w:val="Compact"/>
            </w:pPr>
            <w:r>
              <w:t xml:space="preserve">Must Have</w:t>
            </w:r>
          </w:p>
        </w:tc>
      </w:tr>
      <w:tr>
        <w:tc>
          <w:tcPr/>
          <w:p>
            <w:pPr>
              <w:pStyle w:val="Compact"/>
            </w:pPr>
            <w:r>
              <w:t xml:space="preserve">F-04</w:t>
            </w:r>
          </w:p>
        </w:tc>
        <w:tc>
          <w:tcPr/>
          <w:p>
            <w:pPr>
              <w:pStyle w:val="Compact"/>
            </w:pPr>
            <w:r>
              <w:t xml:space="preserve">Extract key phrases that drove the sentiment classification</w:t>
            </w:r>
          </w:p>
        </w:tc>
        <w:tc>
          <w:tcPr/>
          <w:p>
            <w:pPr>
              <w:pStyle w:val="Compact"/>
            </w:pPr>
            <w:r>
              <w:t xml:space="preserve">Must Have</w:t>
            </w:r>
          </w:p>
        </w:tc>
      </w:tr>
      <w:tr>
        <w:tc>
          <w:tcPr/>
          <w:p>
            <w:pPr>
              <w:pStyle w:val="Compact"/>
            </w:pPr>
            <w:r>
              <w:t xml:space="preserve">F-05</w:t>
            </w:r>
          </w:p>
        </w:tc>
        <w:tc>
          <w:tcPr/>
          <w:p>
            <w:pPr>
              <w:pStyle w:val="Compact"/>
            </w:pPr>
            <w:r>
              <w:t xml:space="preserve">Provide 2-3 sentence reasoning explaining the sentiment assessment</w:t>
            </w:r>
          </w:p>
        </w:tc>
        <w:tc>
          <w:tcPr/>
          <w:p>
            <w:pPr>
              <w:pStyle w:val="Compact"/>
            </w:pPr>
            <w:r>
              <w:t xml:space="preserve">Must Have</w:t>
            </w:r>
          </w:p>
        </w:tc>
      </w:tr>
      <w:tr>
        <w:tc>
          <w:tcPr/>
          <w:p>
            <w:pPr>
              <w:pStyle w:val="Compact"/>
            </w:pPr>
            <w:r>
              <w:t xml:space="preserve">F-06</w:t>
            </w:r>
          </w:p>
        </w:tc>
        <w:tc>
          <w:tcPr/>
          <w:p>
            <w:pPr>
              <w:pStyle w:val="Compact"/>
            </w:pPr>
            <w:r>
              <w:t xml:space="preserve">Generate recommended response action for service desk agents</w:t>
            </w:r>
          </w:p>
        </w:tc>
        <w:tc>
          <w:tcPr/>
          <w:p>
            <w:pPr>
              <w:pStyle w:val="Compact"/>
            </w:pPr>
            <w:r>
              <w:t xml:space="preserve">Should Have</w:t>
            </w:r>
          </w:p>
        </w:tc>
      </w:tr>
      <w:tr>
        <w:tc>
          <w:tcPr/>
          <w:p>
            <w:pPr>
              <w:pStyle w:val="Compact"/>
            </w:pPr>
            <w:r>
              <w:t xml:space="preserve">F-07</w:t>
            </w:r>
          </w:p>
        </w:tc>
        <w:tc>
          <w:tcPr/>
          <w:p>
            <w:pPr>
              <w:pStyle w:val="Compact"/>
            </w:pPr>
            <w:r>
              <w:t xml:space="preserve">Assess XLA impact level (Low/Medium/High) per ticket</w:t>
            </w:r>
          </w:p>
        </w:tc>
        <w:tc>
          <w:tcPr/>
          <w:p>
            <w:pPr>
              <w:pStyle w:val="Compact"/>
            </w:pPr>
            <w:r>
              <w:t xml:space="preserve">Should Have</w:t>
            </w:r>
          </w:p>
        </w:tc>
      </w:tr>
      <w:tr>
        <w:tc>
          <w:tcPr/>
          <w:p>
            <w:pPr>
              <w:pStyle w:val="Compact"/>
            </w:pPr>
            <w:r>
              <w:t xml:space="preserve">F-08</w:t>
            </w:r>
          </w:p>
        </w:tc>
        <w:tc>
          <w:tcPr/>
          <w:p>
            <w:pPr>
              <w:pStyle w:val="Compact"/>
            </w:pPr>
            <w:r>
              <w:t xml:space="preserve">Assess emotional urgency independent of technical priority</w:t>
            </w:r>
          </w:p>
        </w:tc>
        <w:tc>
          <w:tcPr/>
          <w:p>
            <w:pPr>
              <w:pStyle w:val="Compact"/>
            </w:pPr>
            <w:r>
              <w:t xml:space="preserve">Should Have</w:t>
            </w:r>
          </w:p>
        </w:tc>
      </w:tr>
    </w:tbl>
    <w:bookmarkEnd w:id="14"/>
    <w:bookmarkStart w:id="15" w:name="dashboard-and-reporting"/>
    <w:p>
      <w:pPr>
        <w:pStyle w:val="Heading3"/>
      </w:pPr>
      <w:r>
        <w:t xml:space="preserve">3.2 Dashboard and Reporting</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F-09</w:t>
            </w:r>
          </w:p>
        </w:tc>
        <w:tc>
          <w:tcPr/>
          <w:p>
            <w:pPr>
              <w:pStyle w:val="Compact"/>
            </w:pPr>
            <w:r>
              <w:t xml:space="preserve">Display overall XLA score (0-10 scale) across all analyzed tickets</w:t>
            </w:r>
          </w:p>
        </w:tc>
        <w:tc>
          <w:tcPr/>
          <w:p>
            <w:pPr>
              <w:pStyle w:val="Compact"/>
            </w:pPr>
            <w:r>
              <w:t xml:space="preserve">Must Have</w:t>
            </w:r>
          </w:p>
        </w:tc>
      </w:tr>
      <w:tr>
        <w:tc>
          <w:tcPr/>
          <w:p>
            <w:pPr>
              <w:pStyle w:val="Compact"/>
            </w:pPr>
            <w:r>
              <w:t xml:space="preserve">F-10</w:t>
            </w:r>
          </w:p>
        </w:tc>
        <w:tc>
          <w:tcPr/>
          <w:p>
            <w:pPr>
              <w:pStyle w:val="Compact"/>
            </w:pPr>
            <w:r>
              <w:t xml:space="preserve">Show sentiment distribution (positive/neutral/negative counts and percentages)</w:t>
            </w:r>
          </w:p>
        </w:tc>
        <w:tc>
          <w:tcPr/>
          <w:p>
            <w:pPr>
              <w:pStyle w:val="Compact"/>
            </w:pPr>
            <w:r>
              <w:t xml:space="preserve">Must Have</w:t>
            </w:r>
          </w:p>
        </w:tc>
      </w:tr>
      <w:tr>
        <w:tc>
          <w:tcPr/>
          <w:p>
            <w:pPr>
              <w:pStyle w:val="Compact"/>
            </w:pPr>
            <w:r>
              <w:t xml:space="preserve">F-11</w:t>
            </w:r>
          </w:p>
        </w:tc>
        <w:tc>
          <w:tcPr/>
          <w:p>
            <w:pPr>
              <w:pStyle w:val="Compact"/>
            </w:pPr>
            <w:r>
              <w:t xml:space="preserve">Break down sentiment by department, location, and ticket category</w:t>
            </w:r>
          </w:p>
        </w:tc>
        <w:tc>
          <w:tcPr/>
          <w:p>
            <w:pPr>
              <w:pStyle w:val="Compact"/>
            </w:pPr>
            <w:r>
              <w:t xml:space="preserve">Must Have</w:t>
            </w:r>
          </w:p>
        </w:tc>
      </w:tr>
      <w:tr>
        <w:tc>
          <w:tcPr/>
          <w:p>
            <w:pPr>
              <w:pStyle w:val="Compact"/>
            </w:pPr>
            <w:r>
              <w:t xml:space="preserve">F-12</w:t>
            </w:r>
          </w:p>
        </w:tc>
        <w:tc>
          <w:tcPr/>
          <w:p>
            <w:pPr>
              <w:pStyle w:val="Compact"/>
            </w:pPr>
            <w:r>
              <w:t xml:space="preserve">Show weekly sentiment trend over time</w:t>
            </w:r>
          </w:p>
        </w:tc>
        <w:tc>
          <w:tcPr/>
          <w:p>
            <w:pPr>
              <w:pStyle w:val="Compact"/>
            </w:pPr>
            <w:r>
              <w:t xml:space="preserve">Must Have</w:t>
            </w:r>
          </w:p>
        </w:tc>
      </w:tr>
      <w:tr>
        <w:tc>
          <w:tcPr/>
          <w:p>
            <w:pPr>
              <w:pStyle w:val="Compact"/>
            </w:pPr>
            <w:r>
              <w:t xml:space="preserve">F-13</w:t>
            </w:r>
          </w:p>
        </w:tc>
        <w:tc>
          <w:tcPr/>
          <w:p>
            <w:pPr>
              <w:pStyle w:val="Compact"/>
            </w:pPr>
            <w:r>
              <w:t xml:space="preserve">Generate alerts for departments/locations where negative sentiment exceeds threshold</w:t>
            </w:r>
          </w:p>
        </w:tc>
        <w:tc>
          <w:tcPr/>
          <w:p>
            <w:pPr>
              <w:pStyle w:val="Compact"/>
            </w:pPr>
            <w:r>
              <w:t xml:space="preserve">Must Have</w:t>
            </w:r>
          </w:p>
        </w:tc>
      </w:tr>
      <w:tr>
        <w:tc>
          <w:tcPr/>
          <w:p>
            <w:pPr>
              <w:pStyle w:val="Compact"/>
            </w:pPr>
            <w:r>
              <w:t xml:space="preserve">F-14</w:t>
            </w:r>
          </w:p>
        </w:tc>
        <w:tc>
          <w:tcPr/>
          <w:p>
            <w:pPr>
              <w:pStyle w:val="Compact"/>
            </w:pPr>
            <w:r>
              <w:t xml:space="preserve">Frustration target breakdown (how many tickets target the problem vs. service provider)</w:t>
            </w:r>
          </w:p>
        </w:tc>
        <w:tc>
          <w:tcPr/>
          <w:p>
            <w:pPr>
              <w:pStyle w:val="Compact"/>
            </w:pPr>
            <w:r>
              <w:t xml:space="preserve">Must Have</w:t>
            </w:r>
          </w:p>
        </w:tc>
      </w:tr>
      <w:tr>
        <w:tc>
          <w:tcPr/>
          <w:p>
            <w:pPr>
              <w:pStyle w:val="Compact"/>
            </w:pPr>
            <w:r>
              <w:t xml:space="preserve">F-15</w:t>
            </w:r>
          </w:p>
        </w:tc>
        <w:tc>
          <w:tcPr/>
          <w:p>
            <w:pPr>
              <w:pStyle w:val="Compact"/>
            </w:pPr>
            <w:r>
              <w:t xml:space="preserve">Drill-down from dashboard to individual ticket detail with full analysis</w:t>
            </w:r>
          </w:p>
        </w:tc>
        <w:tc>
          <w:tcPr/>
          <w:p>
            <w:pPr>
              <w:pStyle w:val="Compact"/>
            </w:pPr>
            <w:r>
              <w:t xml:space="preserve">Should Have</w:t>
            </w:r>
          </w:p>
        </w:tc>
      </w:tr>
      <w:tr>
        <w:tc>
          <w:tcPr/>
          <w:p>
            <w:pPr>
              <w:pStyle w:val="Compact"/>
            </w:pPr>
            <w:r>
              <w:t xml:space="preserve">F-16</w:t>
            </w:r>
          </w:p>
        </w:tc>
        <w:tc>
          <w:tcPr/>
          <w:p>
            <w:pPr>
              <w:pStyle w:val="Compact"/>
            </w:pPr>
            <w:r>
              <w:t xml:space="preserve">Filterable/sortable ticket list by sentiment, priority, category, frustration target</w:t>
            </w:r>
          </w:p>
        </w:tc>
        <w:tc>
          <w:tcPr/>
          <w:p>
            <w:pPr>
              <w:pStyle w:val="Compact"/>
            </w:pPr>
            <w:r>
              <w:t xml:space="preserve">Should Have</w:t>
            </w:r>
          </w:p>
        </w:tc>
      </w:tr>
    </w:tbl>
    <w:bookmarkEnd w:id="15"/>
    <w:bookmarkStart w:id="16" w:name="data-integration"/>
    <w:p>
      <w:pPr>
        <w:pStyle w:val="Heading3"/>
      </w:pPr>
      <w:r>
        <w:t xml:space="preserve">3.3 Data Integration</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F-17</w:t>
            </w:r>
          </w:p>
        </w:tc>
        <w:tc>
          <w:tcPr/>
          <w:p>
            <w:pPr>
              <w:pStyle w:val="Compact"/>
            </w:pPr>
            <w:r>
              <w:t xml:space="preserve">Accept ServiceNow ticket data via CSV upload</w:t>
            </w:r>
          </w:p>
        </w:tc>
        <w:tc>
          <w:tcPr/>
          <w:p>
            <w:pPr>
              <w:pStyle w:val="Compact"/>
            </w:pPr>
            <w:r>
              <w:t xml:space="preserve">Must Have</w:t>
            </w:r>
          </w:p>
        </w:tc>
      </w:tr>
      <w:tr>
        <w:tc>
          <w:tcPr/>
          <w:p>
            <w:pPr>
              <w:pStyle w:val="Compact"/>
            </w:pPr>
            <w:r>
              <w:t xml:space="preserve">F-18</w:t>
            </w:r>
          </w:p>
        </w:tc>
        <w:tc>
          <w:tcPr/>
          <w:p>
            <w:pPr>
              <w:pStyle w:val="Compact"/>
            </w:pPr>
            <w:r>
              <w:t xml:space="preserve">Accept ServiceNow ticket data via API integration</w:t>
            </w:r>
          </w:p>
        </w:tc>
        <w:tc>
          <w:tcPr/>
          <w:p>
            <w:pPr>
              <w:pStyle w:val="Compact"/>
            </w:pPr>
            <w:r>
              <w:t xml:space="preserve">Should Have</w:t>
            </w:r>
          </w:p>
        </w:tc>
      </w:tr>
      <w:tr>
        <w:tc>
          <w:tcPr/>
          <w:p>
            <w:pPr>
              <w:pStyle w:val="Compact"/>
            </w:pPr>
            <w:r>
              <w:t xml:space="preserve">F-19</w:t>
            </w:r>
          </w:p>
        </w:tc>
        <w:tc>
          <w:tcPr/>
          <w:p>
            <w:pPr>
              <w:pStyle w:val="Compact"/>
            </w:pPr>
            <w:r>
              <w:t xml:space="preserve">Cache analysis results to avoid re-processing previously scored tickets</w:t>
            </w:r>
          </w:p>
        </w:tc>
        <w:tc>
          <w:tcPr/>
          <w:p>
            <w:pPr>
              <w:pStyle w:val="Compact"/>
            </w:pPr>
            <w:r>
              <w:t xml:space="preserve">Must Have</w:t>
            </w:r>
          </w:p>
        </w:tc>
      </w:tr>
      <w:tr>
        <w:tc>
          <w:tcPr/>
          <w:p>
            <w:pPr>
              <w:pStyle w:val="Compact"/>
            </w:pPr>
            <w:r>
              <w:t xml:space="preserve">F-20</w:t>
            </w:r>
          </w:p>
        </w:tc>
        <w:tc>
          <w:tcPr/>
          <w:p>
            <w:pPr>
              <w:pStyle w:val="Compact"/>
            </w:pPr>
            <w:r>
              <w:t xml:space="preserve">Support batch analysis (process hundreds/thousands of tickets efficiently)</w:t>
            </w:r>
          </w:p>
        </w:tc>
        <w:tc>
          <w:tcPr/>
          <w:p>
            <w:pPr>
              <w:pStyle w:val="Compact"/>
            </w:pPr>
            <w:r>
              <w:t xml:space="preserve">Must Have</w:t>
            </w:r>
          </w:p>
        </w:tc>
      </w:tr>
      <w:tr>
        <w:tc>
          <w:tcPr/>
          <w:p>
            <w:pPr>
              <w:pStyle w:val="Compact"/>
            </w:pPr>
            <w:r>
              <w:t xml:space="preserve">F-21</w:t>
            </w:r>
          </w:p>
        </w:tc>
        <w:tc>
          <w:tcPr/>
          <w:p>
            <w:pPr>
              <w:pStyle w:val="Compact"/>
            </w:pPr>
            <w:r>
              <w:t xml:space="preserve">Support on-demand re-analysis of individual tickets</w:t>
            </w:r>
          </w:p>
        </w:tc>
        <w:tc>
          <w:tcPr/>
          <w:p>
            <w:pPr>
              <w:pStyle w:val="Compact"/>
            </w:pPr>
            <w:r>
              <w:t xml:space="preserve">Should Have</w:t>
            </w:r>
          </w:p>
        </w:tc>
      </w:tr>
    </w:tbl>
    <w:p>
      <w:r>
        <w:pict>
          <v:rect style="width:0;height:1.5pt" o:hralign="center" o:hrstd="t" o:hr="t"/>
        </w:pict>
      </w:r>
    </w:p>
    <w:bookmarkEnd w:id="16"/>
    <w:bookmarkEnd w:id="17"/>
    <w:bookmarkStart w:id="18" w:name="non-functional-requirements"/>
    <w:p>
      <w:pPr>
        <w:pStyle w:val="Heading2"/>
      </w:pPr>
      <w:r>
        <w:t xml:space="preserve">4. Non-Functional Requirements</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Detail</w:t>
            </w:r>
          </w:p>
        </w:tc>
      </w:tr>
      <w:tr>
        <w:tc>
          <w:tcPr/>
          <w:p>
            <w:pPr>
              <w:pStyle w:val="Compact"/>
            </w:pPr>
            <w:r>
              <w:t xml:space="preserve">NF-01</w:t>
            </w:r>
          </w:p>
        </w:tc>
        <w:tc>
          <w:tcPr/>
          <w:p>
            <w:pPr>
              <w:pStyle w:val="Compact"/>
            </w:pPr>
            <w:r>
              <w:t xml:space="preserve">Performance</w:t>
            </w:r>
          </w:p>
        </w:tc>
        <w:tc>
          <w:tcPr/>
          <w:p>
            <w:pPr>
              <w:pStyle w:val="Compact"/>
            </w:pPr>
            <w:r>
              <w:t xml:space="preserve">Analyze 100 tickets in under 60 seconds (batch mode)</w:t>
            </w:r>
          </w:p>
        </w:tc>
      </w:tr>
      <w:tr>
        <w:tc>
          <w:tcPr/>
          <w:p>
            <w:pPr>
              <w:pStyle w:val="Compact"/>
            </w:pPr>
            <w:r>
              <w:t xml:space="preserve">NF-02</w:t>
            </w:r>
          </w:p>
        </w:tc>
        <w:tc>
          <w:tcPr/>
          <w:p>
            <w:pPr>
              <w:pStyle w:val="Compact"/>
            </w:pPr>
            <w:r>
              <w:t xml:space="preserve">Scalability</w:t>
            </w:r>
          </w:p>
        </w:tc>
        <w:tc>
          <w:tcPr/>
          <w:p>
            <w:pPr>
              <w:pStyle w:val="Compact"/>
            </w:pPr>
            <w:r>
              <w:t xml:space="preserve">Support up to 10,000 tickets per analysis run</w:t>
            </w:r>
          </w:p>
        </w:tc>
      </w:tr>
      <w:tr>
        <w:tc>
          <w:tcPr/>
          <w:p>
            <w:pPr>
              <w:pStyle w:val="Compact"/>
            </w:pPr>
            <w:r>
              <w:t xml:space="preserve">NF-03</w:t>
            </w:r>
          </w:p>
        </w:tc>
        <w:tc>
          <w:tcPr/>
          <w:p>
            <w:pPr>
              <w:pStyle w:val="Compact"/>
            </w:pPr>
            <w:r>
              <w:t xml:space="preserve">Accuracy</w:t>
            </w:r>
          </w:p>
        </w:tc>
        <w:tc>
          <w:tcPr/>
          <w:p>
            <w:pPr>
              <w:pStyle w:val="Compact"/>
            </w:pPr>
            <w:r>
              <w:t xml:space="preserve">Sentiment classification accuracy &gt; 90% vs. human review</w:t>
            </w:r>
          </w:p>
        </w:tc>
      </w:tr>
      <w:tr>
        <w:tc>
          <w:tcPr/>
          <w:p>
            <w:pPr>
              <w:pStyle w:val="Compact"/>
            </w:pPr>
            <w:r>
              <w:t xml:space="preserve">NF-04</w:t>
            </w:r>
          </w:p>
        </w:tc>
        <w:tc>
          <w:tcPr/>
          <w:p>
            <w:pPr>
              <w:pStyle w:val="Compact"/>
            </w:pPr>
            <w:r>
              <w:t xml:space="preserve">Availability</w:t>
            </w:r>
          </w:p>
        </w:tc>
        <w:tc>
          <w:tcPr/>
          <w:p>
            <w:pPr>
              <w:pStyle w:val="Compact"/>
            </w:pPr>
            <w:r>
              <w:t xml:space="preserve">Dashboard accessible 24/7 via web browser</w:t>
            </w:r>
          </w:p>
        </w:tc>
      </w:tr>
      <w:tr>
        <w:tc>
          <w:tcPr/>
          <w:p>
            <w:pPr>
              <w:pStyle w:val="Compact"/>
            </w:pPr>
            <w:r>
              <w:t xml:space="preserve">NF-05</w:t>
            </w:r>
          </w:p>
        </w:tc>
        <w:tc>
          <w:tcPr/>
          <w:p>
            <w:pPr>
              <w:pStyle w:val="Compact"/>
            </w:pPr>
            <w:r>
              <w:t xml:space="preserve">Security</w:t>
            </w:r>
          </w:p>
        </w:tc>
        <w:tc>
          <w:tcPr/>
          <w:p>
            <w:pPr>
              <w:pStyle w:val="Compact"/>
            </w:pPr>
            <w:r>
              <w:t xml:space="preserve">No PHI/PII transmitted to external AI services; ticket text only</w:t>
            </w:r>
          </w:p>
        </w:tc>
      </w:tr>
      <w:tr>
        <w:tc>
          <w:tcPr/>
          <w:p>
            <w:pPr>
              <w:pStyle w:val="Compact"/>
            </w:pPr>
            <w:r>
              <w:t xml:space="preserve">NF-06</w:t>
            </w:r>
          </w:p>
        </w:tc>
        <w:tc>
          <w:tcPr/>
          <w:p>
            <w:pPr>
              <w:pStyle w:val="Compact"/>
            </w:pPr>
            <w:r>
              <w:t xml:space="preserve">Data Retention</w:t>
            </w:r>
          </w:p>
        </w:tc>
        <w:tc>
          <w:tcPr/>
          <w:p>
            <w:pPr>
              <w:pStyle w:val="Compact"/>
            </w:pPr>
            <w:r>
              <w:t xml:space="preserve">Analysis results retained for 12 months minimum</w:t>
            </w:r>
          </w:p>
        </w:tc>
      </w:tr>
      <w:tr>
        <w:tc>
          <w:tcPr/>
          <w:p>
            <w:pPr>
              <w:pStyle w:val="Compact"/>
            </w:pPr>
            <w:r>
              <w:t xml:space="preserve">NF-07</w:t>
            </w:r>
          </w:p>
        </w:tc>
        <w:tc>
          <w:tcPr/>
          <w:p>
            <w:pPr>
              <w:pStyle w:val="Compact"/>
            </w:pPr>
            <w:r>
              <w:t xml:space="preserve">Cost Efficiency</w:t>
            </w:r>
          </w:p>
        </w:tc>
        <w:tc>
          <w:tcPr/>
          <w:p>
            <w:pPr>
              <w:pStyle w:val="Compact"/>
            </w:pPr>
            <w:r>
              <w:t xml:space="preserve">Per-ticket analysis cost &lt; $0.01 at scale</w:t>
            </w:r>
          </w:p>
        </w:tc>
      </w:tr>
    </w:tbl>
    <w:p>
      <w:r>
        <w:pict>
          <v:rect style="width:0;height:1.5pt" o:hralign="center" o:hrstd="t" o:hr="t"/>
        </w:pict>
      </w:r>
    </w:p>
    <w:bookmarkEnd w:id="18"/>
    <w:bookmarkStart w:id="19" w:name="solution-architecture-high-level"/>
    <w:p>
      <w:pPr>
        <w:pStyle w:val="Heading2"/>
      </w:pPr>
      <w:r>
        <w:t xml:space="preserve">5. Solution Architecture (High Level)</w:t>
      </w:r>
    </w:p>
    <w:p>
      <w:pPr>
        <w:pStyle w:val="SourceCode"/>
      </w:pPr>
      <w:r>
        <w:rPr>
          <w:rStyle w:val="VerbatimChar"/>
        </w:rPr>
        <w:t xml:space="preserve">ServiceNow → CSV/API Export → Kore.ai Sentiment Engine → Dashboard</w:t>
      </w:r>
      <w:r>
        <w:br/>
      </w:r>
      <w:r>
        <w:rPr>
          <w:rStyle w:val="VerbatimChar"/>
        </w:rPr>
        <w:t xml:space="preserve">                                      ↓</w:t>
      </w:r>
      <w:r>
        <w:br/>
      </w:r>
      <w:r>
        <w:rPr>
          <w:rStyle w:val="VerbatimChar"/>
        </w:rPr>
        <w:t xml:space="preserve">                              AI Analysis (LLM)</w:t>
      </w:r>
      <w:r>
        <w:br/>
      </w:r>
      <w:r>
        <w:rPr>
          <w:rStyle w:val="VerbatimChar"/>
        </w:rPr>
        <w:t xml:space="preserve">                                      ↓</w:t>
      </w:r>
      <w:r>
        <w:br/>
      </w:r>
      <w:r>
        <w:rPr>
          <w:rStyle w:val="VerbatimChar"/>
        </w:rPr>
        <w:t xml:space="preserve">                              Structured Results</w:t>
      </w:r>
      <w:r>
        <w:br/>
      </w:r>
      <w:r>
        <w:rPr>
          <w:rStyle w:val="VerbatimChar"/>
        </w:rPr>
        <w:t xml:space="preserve">                              (score, target, reasoning)</w:t>
      </w:r>
      <w:r>
        <w:br/>
      </w:r>
      <w:r>
        <w:rPr>
          <w:rStyle w:val="VerbatimChar"/>
        </w:rPr>
        <w:t xml:space="preserve">                                      ↓</w:t>
      </w:r>
      <w:r>
        <w:br/>
      </w:r>
      <w:r>
        <w:rPr>
          <w:rStyle w:val="VerbatimChar"/>
        </w:rPr>
        <w:t xml:space="preserve">                              Results Cache (JSON/DB)</w:t>
      </w:r>
    </w:p>
    <w:p>
      <w:pPr>
        <w:pStyle w:val="FirstParagraph"/>
      </w:pPr>
      <w:r>
        <w:rPr>
          <w:b/>
          <w:bCs/>
        </w:rPr>
        <w:t xml:space="preserve">Key components:</w:t>
      </w:r>
    </w:p>
    <w:p>
      <w:pPr>
        <w:pStyle w:val="Compact"/>
        <w:numPr>
          <w:ilvl w:val="0"/>
          <w:numId w:val="1004"/>
        </w:numPr>
      </w:pPr>
      <w:r>
        <w:rPr>
          <w:b/>
          <w:bCs/>
        </w:rPr>
        <w:t xml:space="preserve">Data Ingestion</w:t>
      </w:r>
      <w:r>
        <w:t xml:space="preserve"> </w:t>
      </w:r>
      <w:r>
        <w:t xml:space="preserve">— ServiceNow ticket data via CSV upload or API connector</w:t>
      </w:r>
    </w:p>
    <w:p>
      <w:pPr>
        <w:pStyle w:val="Compact"/>
        <w:numPr>
          <w:ilvl w:val="0"/>
          <w:numId w:val="1004"/>
        </w:numPr>
      </w:pPr>
      <w:r>
        <w:rPr>
          <w:b/>
          <w:bCs/>
        </w:rPr>
        <w:t xml:space="preserve">Sentiment Engine</w:t>
      </w:r>
      <w:r>
        <w:t xml:space="preserve"> </w:t>
      </w:r>
      <w:r>
        <w:t xml:space="preserve">— AI/LLM-powered analysis with structured output (sentiment, frustration target, key phrases, reasoning, recommendations)</w:t>
      </w:r>
    </w:p>
    <w:p>
      <w:pPr>
        <w:pStyle w:val="Compact"/>
        <w:numPr>
          <w:ilvl w:val="0"/>
          <w:numId w:val="1004"/>
        </w:numPr>
      </w:pPr>
      <w:r>
        <w:rPr>
          <w:b/>
          <w:bCs/>
        </w:rPr>
        <w:t xml:space="preserve">Results Store</w:t>
      </w:r>
      <w:r>
        <w:t xml:space="preserve"> </w:t>
      </w:r>
      <w:r>
        <w:t xml:space="preserve">— Cached analysis results with incremental updates (only new/changed tickets re-analyzed)</w:t>
      </w:r>
    </w:p>
    <w:p>
      <w:pPr>
        <w:pStyle w:val="Compact"/>
        <w:numPr>
          <w:ilvl w:val="0"/>
          <w:numId w:val="1004"/>
        </w:numPr>
      </w:pPr>
      <w:r>
        <w:rPr>
          <w:b/>
          <w:bCs/>
        </w:rPr>
        <w:t xml:space="preserve">Dashboard UI</w:t>
      </w:r>
      <w:r>
        <w:t xml:space="preserve"> </w:t>
      </w:r>
      <w:r>
        <w:t xml:space="preserve">— Web-based dashboard with charts, alerts, drill-down to individual tickets</w:t>
      </w:r>
    </w:p>
    <w:p>
      <w:pPr>
        <w:pStyle w:val="Compact"/>
        <w:numPr>
          <w:ilvl w:val="0"/>
          <w:numId w:val="1004"/>
        </w:numPr>
      </w:pPr>
      <w:r>
        <w:rPr>
          <w:b/>
          <w:bCs/>
        </w:rPr>
        <w:t xml:space="preserve">Alert System</w:t>
      </w:r>
      <w:r>
        <w:t xml:space="preserve"> </w:t>
      </w:r>
      <w:r>
        <w:t xml:space="preserve">— Configurable thresholds for sentiment alerts by department/location</w:t>
      </w:r>
    </w:p>
    <w:p>
      <w:r>
        <w:pict>
          <v:rect style="width:0;height:1.5pt" o:hralign="center" o:hrstd="t" o:hr="t"/>
        </w:pict>
      </w:r>
    </w:p>
    <w:bookmarkEnd w:id="19"/>
    <w:bookmarkStart w:id="20" w:name="X5389737642c228089b957f8cd8c0cc571d86683"/>
    <w:p>
      <w:pPr>
        <w:pStyle w:val="Heading2"/>
      </w:pPr>
      <w:r>
        <w:t xml:space="preserve">6. Competitive Differentiation vs. Foresight</w:t>
      </w:r>
    </w:p>
    <w:tbl>
      <w:tblPr>
        <w:tblStyle w:val="Table"/>
        <w:tblW w:type="pct" w:w="5000"/>
        <w:tblLayout w:type="fixed"/>
        <w:tblLook w:firstRow="1" w:lastRow="0" w:firstColumn="0" w:lastColumn="0" w:noHBand="0" w:noVBand="0" w:val="0020"/>
      </w:tblPr>
      <w:tblGrid>
        <w:gridCol w:w="1742"/>
        <w:gridCol w:w="3326"/>
        <w:gridCol w:w="2851"/>
      </w:tblGrid>
      <w:tr>
        <w:trPr>
          <w:tblHeader w:val="on"/>
        </w:trPr>
        <w:tc>
          <w:tcPr/>
          <w:p>
            <w:pPr>
              <w:pStyle w:val="Compact"/>
            </w:pPr>
            <w:r>
              <w:t xml:space="preserve">Capability</w:t>
            </w:r>
          </w:p>
        </w:tc>
        <w:tc>
          <w:tcPr/>
          <w:p>
            <w:pPr>
              <w:pStyle w:val="Compact"/>
            </w:pPr>
            <w:r>
              <w:t xml:space="preserve">Foresight ($142K/yr)</w:t>
            </w:r>
          </w:p>
        </w:tc>
        <w:tc>
          <w:tcPr/>
          <w:p>
            <w:pPr>
              <w:pStyle w:val="Compact"/>
            </w:pPr>
            <w:r>
              <w:t xml:space="preserve">Kore.ai Solution</w:t>
            </w:r>
          </w:p>
        </w:tc>
      </w:tr>
      <w:tr>
        <w:tc>
          <w:tcPr/>
          <w:p>
            <w:pPr>
              <w:pStyle w:val="Compact"/>
            </w:pPr>
            <w:r>
              <w:t xml:space="preserve">Basic sentiment (pos/neg/neutral)</w:t>
            </w:r>
          </w:p>
        </w:tc>
        <w:tc>
          <w:tcPr/>
          <w:p>
            <w:pPr>
              <w:pStyle w:val="Compact"/>
            </w:pPr>
            <w:r>
              <w:t xml:space="preserve">Yes</w:t>
            </w:r>
          </w:p>
        </w:tc>
        <w:tc>
          <w:tcPr/>
          <w:p>
            <w:pPr>
              <w:pStyle w:val="Compact"/>
            </w:pPr>
            <w:r>
              <w:t xml:space="preserve">Yes</w:t>
            </w:r>
          </w:p>
        </w:tc>
      </w:tr>
      <w:tr>
        <w:tc>
          <w:tcPr/>
          <w:p>
            <w:pPr>
              <w:pStyle w:val="Compact"/>
            </w:pPr>
            <w:r>
              <w:t xml:space="preserve">Frustration target analysis</w:t>
            </w:r>
          </w:p>
        </w:tc>
        <w:tc>
          <w:tcPr/>
          <w:p>
            <w:pPr>
              <w:pStyle w:val="Compact"/>
            </w:pPr>
            <w:r>
              <w:t xml:space="preserve">No</w:t>
            </w:r>
          </w:p>
        </w:tc>
        <w:tc>
          <w:tcPr/>
          <w:p>
            <w:pPr>
              <w:pStyle w:val="Compact"/>
            </w:pPr>
            <w:r>
              <w:rPr>
                <w:b/>
                <w:bCs/>
              </w:rPr>
              <w:t xml:space="preserve">Yes — distinguishes problem vs. service provider</w:t>
            </w:r>
          </w:p>
        </w:tc>
      </w:tr>
      <w:tr>
        <w:tc>
          <w:tcPr/>
          <w:p>
            <w:pPr>
              <w:pStyle w:val="Compact"/>
            </w:pPr>
            <w:r>
              <w:t xml:space="preserve">Per-ticket reasoning</w:t>
            </w:r>
          </w:p>
        </w:tc>
        <w:tc>
          <w:tcPr/>
          <w:p>
            <w:pPr>
              <w:pStyle w:val="Compact"/>
            </w:pPr>
            <w:r>
              <w:t xml:space="preserve">No</w:t>
            </w:r>
          </w:p>
        </w:tc>
        <w:tc>
          <w:tcPr/>
          <w:p>
            <w:pPr>
              <w:pStyle w:val="Compact"/>
            </w:pPr>
            <w:r>
              <w:rPr>
                <w:b/>
                <w:bCs/>
              </w:rPr>
              <w:t xml:space="preserve">Yes — explains why each score was assigned</w:t>
            </w:r>
          </w:p>
        </w:tc>
      </w:tr>
      <w:tr>
        <w:tc>
          <w:tcPr/>
          <w:p>
            <w:pPr>
              <w:pStyle w:val="Compact"/>
            </w:pPr>
            <w:r>
              <w:t xml:space="preserve">Key phrase extraction</w:t>
            </w:r>
          </w:p>
        </w:tc>
        <w:tc>
          <w:tcPr/>
          <w:p>
            <w:pPr>
              <w:pStyle w:val="Compact"/>
            </w:pPr>
            <w:r>
              <w:t xml:space="preserve">Limited</w:t>
            </w:r>
          </w:p>
        </w:tc>
        <w:tc>
          <w:tcPr/>
          <w:p>
            <w:pPr>
              <w:pStyle w:val="Compact"/>
            </w:pPr>
            <w:r>
              <w:rPr>
                <w:b/>
                <w:bCs/>
              </w:rPr>
              <w:t xml:space="preserve">Yes — exact quotes highlighted</w:t>
            </w:r>
          </w:p>
        </w:tc>
      </w:tr>
      <w:tr>
        <w:tc>
          <w:tcPr/>
          <w:p>
            <w:pPr>
              <w:pStyle w:val="Compact"/>
            </w:pPr>
            <w:r>
              <w:t xml:space="preserve">Recommended response action</w:t>
            </w:r>
          </w:p>
        </w:tc>
        <w:tc>
          <w:tcPr/>
          <w:p>
            <w:pPr>
              <w:pStyle w:val="Compact"/>
            </w:pPr>
            <w:r>
              <w:t xml:space="preserve">No</w:t>
            </w:r>
          </w:p>
        </w:tc>
        <w:tc>
          <w:tcPr/>
          <w:p>
            <w:pPr>
              <w:pStyle w:val="Compact"/>
            </w:pPr>
            <w:r>
              <w:rPr>
                <w:b/>
                <w:bCs/>
              </w:rPr>
              <w:t xml:space="preserve">Yes — actionable guidance for agents</w:t>
            </w:r>
          </w:p>
        </w:tc>
      </w:tr>
      <w:tr>
        <w:tc>
          <w:tcPr/>
          <w:p>
            <w:pPr>
              <w:pStyle w:val="Compact"/>
            </w:pPr>
            <w:r>
              <w:t xml:space="preserve">XLA scoring</w:t>
            </w:r>
          </w:p>
        </w:tc>
        <w:tc>
          <w:tcPr/>
          <w:p>
            <w:pPr>
              <w:pStyle w:val="Compact"/>
            </w:pPr>
            <w:r>
              <w:t xml:space="preserve">Basic</w:t>
            </w:r>
          </w:p>
        </w:tc>
        <w:tc>
          <w:tcPr/>
          <w:p>
            <w:pPr>
              <w:pStyle w:val="Compact"/>
            </w:pPr>
            <w:r>
              <w:rPr>
                <w:b/>
                <w:bCs/>
              </w:rPr>
              <w:t xml:space="preserve">Yes — 0-10 scale with department breakdown</w:t>
            </w:r>
          </w:p>
        </w:tc>
      </w:tr>
      <w:tr>
        <w:tc>
          <w:tcPr/>
          <w:p>
            <w:pPr>
              <w:pStyle w:val="Compact"/>
            </w:pPr>
            <w:r>
              <w:t xml:space="preserve">Department-level alerts</w:t>
            </w:r>
          </w:p>
        </w:tc>
        <w:tc>
          <w:tcPr/>
          <w:p>
            <w:pPr>
              <w:pStyle w:val="Compact"/>
            </w:pPr>
            <w:r>
              <w:t xml:space="preserve">Limited</w:t>
            </w:r>
          </w:p>
        </w:tc>
        <w:tc>
          <w:tcPr/>
          <w:p>
            <w:pPr>
              <w:pStyle w:val="Compact"/>
            </w:pPr>
            <w:r>
              <w:rPr>
                <w:b/>
                <w:bCs/>
              </w:rPr>
              <w:t xml:space="preserve">Yes — configurable thresholds</w:t>
            </w:r>
          </w:p>
        </w:tc>
      </w:tr>
      <w:tr>
        <w:tc>
          <w:tcPr/>
          <w:p>
            <w:pPr>
              <w:pStyle w:val="Compact"/>
            </w:pPr>
            <w:r>
              <w:t xml:space="preserve">Cost per ticket</w:t>
            </w:r>
          </w:p>
        </w:tc>
        <w:tc>
          <w:tcPr/>
          <w:p>
            <w:pPr>
              <w:pStyle w:val="Compact"/>
            </w:pPr>
            <w:r>
              <w:t xml:space="preserve">Flat $142K/yr</w:t>
            </w:r>
          </w:p>
        </w:tc>
        <w:tc>
          <w:tcPr/>
          <w:p>
            <w:pPr>
              <w:pStyle w:val="Compact"/>
            </w:pPr>
            <w:r>
              <w:rPr>
                <w:b/>
                <w:bCs/>
              </w:rPr>
              <w:t xml:space="preserve">~$0.005/ticket — scales with usage</w:t>
            </w:r>
          </w:p>
        </w:tc>
      </w:tr>
      <w:tr>
        <w:tc>
          <w:tcPr/>
          <w:p>
            <w:pPr>
              <w:pStyle w:val="Compact"/>
            </w:pPr>
            <w:r>
              <w:t xml:space="preserve">Cross-account deployment</w:t>
            </w:r>
          </w:p>
        </w:tc>
        <w:tc>
          <w:tcPr/>
          <w:p>
            <w:pPr>
              <w:pStyle w:val="Compact"/>
            </w:pPr>
            <w:r>
              <w:t xml:space="preserve">Separate instance</w:t>
            </w:r>
          </w:p>
        </w:tc>
        <w:tc>
          <w:tcPr/>
          <w:p>
            <w:pPr>
              <w:pStyle w:val="Compact"/>
            </w:pPr>
            <w:r>
              <w:rPr>
                <w:b/>
                <w:bCs/>
              </w:rPr>
              <w:t xml:space="preserve">Same engine, any NTT DATA account</w:t>
            </w:r>
          </w:p>
        </w:tc>
      </w:tr>
    </w:tbl>
    <w:p>
      <w:r>
        <w:pict>
          <v:rect style="width:0;height:1.5pt" o:hralign="center" o:hrstd="t" o:hr="t"/>
        </w:pict>
      </w:r>
    </w:p>
    <w:bookmarkEnd w:id="20"/>
    <w:bookmarkStart w:id="21" w:name="pricing-model-preliminary"/>
    <w:p>
      <w:pPr>
        <w:pStyle w:val="Heading2"/>
      </w:pPr>
      <w:r>
        <w:t xml:space="preserve">7. Pricing Model (Preliminary)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Estimated Cost</w:t>
            </w:r>
          </w:p>
        </w:tc>
      </w:tr>
      <w:tr>
        <w:tc>
          <w:tcPr/>
          <w:p>
            <w:pPr>
              <w:pStyle w:val="Compact"/>
            </w:pPr>
            <w:r>
              <w:t xml:space="preserve">Per-ticket analysis</w:t>
            </w:r>
          </w:p>
        </w:tc>
        <w:tc>
          <w:tcPr/>
          <w:p>
            <w:pPr>
              <w:pStyle w:val="Compact"/>
            </w:pPr>
            <w:r>
              <w:t xml:space="preserve">~$0.005 per ticket</w:t>
            </w:r>
          </w:p>
        </w:tc>
      </w:tr>
      <w:tr>
        <w:tc>
          <w:tcPr/>
          <w:p>
            <w:pPr>
              <w:pStyle w:val="Compact"/>
            </w:pPr>
            <w:r>
              <w:t xml:space="preserve">1,000 tickets/month</w:t>
            </w:r>
          </w:p>
        </w:tc>
        <w:tc>
          <w:tcPr/>
          <w:p>
            <w:pPr>
              <w:pStyle w:val="Compact"/>
            </w:pPr>
            <w:r>
              <w:t xml:space="preserve">~$60/year</w:t>
            </w:r>
          </w:p>
        </w:tc>
      </w:tr>
      <w:tr>
        <w:tc>
          <w:tcPr/>
          <w:p>
            <w:pPr>
              <w:pStyle w:val="Compact"/>
            </w:pPr>
            <w:r>
              <w:t xml:space="preserve">10,000 tickets/month</w:t>
            </w:r>
          </w:p>
        </w:tc>
        <w:tc>
          <w:tcPr/>
          <w:p>
            <w:pPr>
              <w:pStyle w:val="Compact"/>
            </w:pPr>
            <w:r>
              <w:t xml:space="preserve">~$600/year</w:t>
            </w:r>
          </w:p>
        </w:tc>
      </w:tr>
      <w:tr>
        <w:tc>
          <w:tcPr/>
          <w:p>
            <w:pPr>
              <w:pStyle w:val="Compact"/>
            </w:pPr>
            <w:r>
              <w:t xml:space="preserve">100,000 tickets/month</w:t>
            </w:r>
          </w:p>
        </w:tc>
        <w:tc>
          <w:tcPr/>
          <w:p>
            <w:pPr>
              <w:pStyle w:val="Compact"/>
            </w:pPr>
            <w:r>
              <w:t xml:space="preserve">~$6,000/year</w:t>
            </w:r>
          </w:p>
        </w:tc>
      </w:tr>
      <w:tr>
        <w:tc>
          <w:tcPr/>
          <w:p>
            <w:pPr>
              <w:pStyle w:val="Compact"/>
            </w:pPr>
            <w:r>
              <w:t xml:space="preserve">Platform/dashboard hosting</w:t>
            </w:r>
          </w:p>
        </w:tc>
        <w:tc>
          <w:tcPr/>
          <w:p>
            <w:pPr>
              <w:pStyle w:val="Compact"/>
            </w:pPr>
            <w:r>
              <w:t xml:space="preserve">TBD based on deployment model</w:t>
            </w:r>
          </w:p>
        </w:tc>
      </w:tr>
      <w:tr>
        <w:tc>
          <w:tcPr/>
          <w:p>
            <w:pPr>
              <w:pStyle w:val="Compact"/>
            </w:pPr>
            <w:r>
              <w:t xml:space="preserve">Implementation &amp; configuration</w:t>
            </w:r>
          </w:p>
        </w:tc>
        <w:tc>
          <w:tcPr/>
          <w:p>
            <w:pPr>
              <w:pStyle w:val="Compact"/>
            </w:pPr>
            <w:r>
              <w:t xml:space="preserve">TBD</w:t>
            </w:r>
          </w:p>
        </w:tc>
      </w:tr>
    </w:tbl>
    <w:p>
      <w:pPr>
        <w:pStyle w:val="BodyText"/>
      </w:pPr>
      <w:r>
        <w:rPr>
          <w:i/>
          <w:iCs/>
        </w:rPr>
        <w:t xml:space="preserve">Exact pricing subject to final architecture and volume commitments.</w:t>
      </w:r>
    </w:p>
    <w:p>
      <w:r>
        <w:pict>
          <v:rect style="width:0;height:1.5pt" o:hralign="center" o:hrstd="t" o:hr="t"/>
        </w:pict>
      </w:r>
    </w:p>
    <w:bookmarkEnd w:id="21"/>
    <w:bookmarkStart w:id="22" w:name="open-questions-for-discussion"/>
    <w:p>
      <w:pPr>
        <w:pStyle w:val="Heading2"/>
      </w:pPr>
      <w:r>
        <w:t xml:space="preserve">8. Open Questions for Discussion</w:t>
      </w:r>
    </w:p>
    <w:p>
      <w:pPr>
        <w:pStyle w:val="Compact"/>
        <w:numPr>
          <w:ilvl w:val="0"/>
          <w:numId w:val="1005"/>
        </w:numPr>
      </w:pPr>
      <w:r>
        <w:rPr>
          <w:b/>
          <w:bCs/>
        </w:rPr>
        <w:t xml:space="preserve">Data access:</w:t>
      </w:r>
      <w:r>
        <w:t xml:space="preserve"> </w:t>
      </w:r>
      <w:r>
        <w:t xml:space="preserve">Can NTT DATA provide a sample CSV export of real Trinity Health tickets (with PHI/PII redacted) for validation?</w:t>
      </w:r>
    </w:p>
    <w:p>
      <w:pPr>
        <w:pStyle w:val="Compact"/>
        <w:numPr>
          <w:ilvl w:val="0"/>
          <w:numId w:val="1005"/>
        </w:numPr>
      </w:pPr>
      <w:r>
        <w:rPr>
          <w:b/>
          <w:bCs/>
        </w:rPr>
        <w:t xml:space="preserve">Volume:</w:t>
      </w:r>
      <w:r>
        <w:t xml:space="preserve"> </w:t>
      </w:r>
      <w:r>
        <w:t xml:space="preserve">How many tickets per month does NTT DATA process for Trinity Health?</w:t>
      </w:r>
    </w:p>
    <w:p>
      <w:pPr>
        <w:pStyle w:val="Compact"/>
        <w:numPr>
          <w:ilvl w:val="0"/>
          <w:numId w:val="1005"/>
        </w:numPr>
      </w:pPr>
      <w:r>
        <w:rPr>
          <w:b/>
          <w:bCs/>
        </w:rPr>
        <w:t xml:space="preserve">Integration preference:</w:t>
      </w:r>
      <w:r>
        <w:t xml:space="preserve"> </w:t>
      </w:r>
      <w:r>
        <w:t xml:space="preserve">CSV batch upload vs. real-time ServiceNow API integration?</w:t>
      </w:r>
    </w:p>
    <w:p>
      <w:pPr>
        <w:pStyle w:val="Compact"/>
        <w:numPr>
          <w:ilvl w:val="0"/>
          <w:numId w:val="1005"/>
        </w:numPr>
      </w:pPr>
      <w:r>
        <w:rPr>
          <w:b/>
          <w:bCs/>
        </w:rPr>
        <w:t xml:space="preserve">Deployment:</w:t>
      </w:r>
      <w:r>
        <w:t xml:space="preserve"> </w:t>
      </w:r>
      <w:r>
        <w:t xml:space="preserve">Cloud-hosted (Kore.ai managed) vs. on-premise within NTT DATA infrastructure?</w:t>
      </w:r>
    </w:p>
    <w:p>
      <w:pPr>
        <w:pStyle w:val="Compact"/>
        <w:numPr>
          <w:ilvl w:val="0"/>
          <w:numId w:val="1005"/>
        </w:numPr>
      </w:pPr>
      <w:r>
        <w:rPr>
          <w:b/>
          <w:bCs/>
        </w:rPr>
        <w:t xml:space="preserve">Alert routing:</w:t>
      </w:r>
      <w:r>
        <w:t xml:space="preserve"> </w:t>
      </w:r>
      <w:r>
        <w:t xml:space="preserve">Where should sentiment alerts be delivered (email, Teams, ServiceNow)?</w:t>
      </w:r>
    </w:p>
    <w:p>
      <w:pPr>
        <w:pStyle w:val="Compact"/>
        <w:numPr>
          <w:ilvl w:val="0"/>
          <w:numId w:val="1005"/>
        </w:numPr>
      </w:pPr>
      <w:r>
        <w:rPr>
          <w:b/>
          <w:bCs/>
        </w:rPr>
        <w:t xml:space="preserve">Cross-account timeline:</w:t>
      </w:r>
      <w:r>
        <w:t xml:space="preserve"> </w:t>
      </w:r>
      <w:r>
        <w:t xml:space="preserve">If Trinity Health is successful, what is the rollout plan for other NTT DATA accounts?</w:t>
      </w:r>
    </w:p>
    <w:p>
      <w:pPr>
        <w:pStyle w:val="Compact"/>
        <w:numPr>
          <w:ilvl w:val="0"/>
          <w:numId w:val="1005"/>
        </w:numPr>
      </w:pPr>
      <w:r>
        <w:rPr>
          <w:b/>
          <w:bCs/>
        </w:rPr>
        <w:t xml:space="preserve">Compliance:</w:t>
      </w:r>
      <w:r>
        <w:t xml:space="preserve"> </w:t>
      </w:r>
      <w:r>
        <w:t xml:space="preserve">Are there specific data handling or residency requirements for Trinity Health ticket data?</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Kore.ai Sentiment Analytics for Enterprise ITO</dc:title>
  <dc:creator/>
  <cp:keywords/>
  <dcterms:created xsi:type="dcterms:W3CDTF">2026-04-18T13:42:01Z</dcterms:created>
  <dcterms:modified xsi:type="dcterms:W3CDTF">2026-04-18T13:42:01Z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v01 — 2026-04-18 06:45 PT</vt:lpwstr>
  </property>
  <property fmtid="{D5CDD505-2E9C-101B-9397-08002B2CF9AE}" pid="3" name="subtitle">
    <vt:lpwstr>Solution Requirements — Trinity Health / NTT DATA</vt:lpwstr>
  </property>
</Properties>
</file>