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Calibri" w:hAnsi="Calibri"/>
          <w:b/>
          <w:i w:val="0"/>
          <w:color w:val="94A3B8"/>
          <w:sz w:val="16"/>
        </w:rPr>
        <w:t>DESIGN SYSTEM</w:t>
      </w:r>
    </w:p>
    <w:p>
      <w:r>
        <w:rPr>
          <w:rFonts w:ascii="Calibri" w:hAnsi="Calibri"/>
          <w:b/>
          <w:i w:val="0"/>
          <w:color w:val="0F172A"/>
          <w:sz w:val="80"/>
        </w:rPr>
        <w:t>Cadence</w:t>
      </w:r>
    </w:p>
    <w:p>
      <w:pPr>
        <w:spacing w:after="640"/>
      </w:pPr>
      <w:r>
        <w:rPr>
          <w:rFonts w:ascii="Calibri" w:hAnsi="Calibri"/>
          <w:b w:val="0"/>
          <w:i w:val="0"/>
          <w:color w:val="475569"/>
          <w:sz w:val="24"/>
        </w:rPr>
        <w:t>Web + Mobile · Outfit Typeface · Minimal → Action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after="40"/>
        <w:ind w:left="288"/>
      </w:pPr>
      <w:r>
        <w:rPr>
          <w:rFonts w:ascii="Calibri" w:hAnsi="Calibri"/>
          <w:b/>
          <w:i w:val="0"/>
          <w:color w:val="475569"/>
          <w:sz w:val="20"/>
        </w:rPr>
        <w:t xml:space="preserve">Platform: </w:t>
      </w:r>
      <w:r>
        <w:rPr>
          <w:rFonts w:ascii="Calibri" w:hAnsi="Calibri"/>
          <w:b w:val="0"/>
          <w:i w:val="0"/>
          <w:color w:val="0F172A"/>
          <w:sz w:val="20"/>
        </w:rPr>
        <w:t>Web &amp; Mobile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475569"/>
          <w:sz w:val="20"/>
        </w:rPr>
        <w:t xml:space="preserve">Typeface: </w:t>
      </w:r>
      <w:r>
        <w:rPr>
          <w:rFonts w:ascii="Calibri" w:hAnsi="Calibri"/>
          <w:b w:val="0"/>
          <w:i w:val="0"/>
          <w:color w:val="0F172A"/>
          <w:sz w:val="20"/>
        </w:rPr>
        <w:t>Outfit (Google Fonts — 300, 400, 500, 600, 700)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475569"/>
          <w:sz w:val="20"/>
        </w:rPr>
        <w:t xml:space="preserve">Primary action: </w:t>
      </w:r>
      <w:r>
        <w:rPr>
          <w:rFonts w:ascii="Calibri" w:hAnsi="Calibri"/>
          <w:b w:val="0"/>
          <w:i w:val="0"/>
          <w:color w:val="0F172A"/>
          <w:sz w:val="20"/>
        </w:rPr>
        <w:t>Blue #3B7FF5 — Send / External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475569"/>
          <w:sz w:val="20"/>
        </w:rPr>
        <w:t xml:space="preserve">Secondary action: </w:t>
      </w:r>
      <w:r>
        <w:rPr>
          <w:rFonts w:ascii="Calibri" w:hAnsi="Calibri"/>
          <w:b w:val="0"/>
          <w:i w:val="0"/>
          <w:color w:val="0F172A"/>
          <w:sz w:val="20"/>
        </w:rPr>
        <w:t>Green #1DC77A — Approve / Internal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475569"/>
          <w:sz w:val="20"/>
        </w:rPr>
        <w:t xml:space="preserve">Default state: </w:t>
      </w:r>
      <w:r>
        <w:rPr>
          <w:rFonts w:ascii="Calibri" w:hAnsi="Calibri"/>
          <w:b w:val="0"/>
          <w:i w:val="0"/>
          <w:color w:val="0F172A"/>
          <w:sz w:val="20"/>
        </w:rPr>
        <w:t>Translucent (unobtrusive)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475569"/>
          <w:sz w:val="20"/>
        </w:rPr>
        <w:t xml:space="preserve">Active state: </w:t>
      </w:r>
      <w:r>
        <w:rPr>
          <w:rFonts w:ascii="Calibri" w:hAnsi="Calibri"/>
          <w:b w:val="0"/>
          <w:i w:val="0"/>
          <w:color w:val="0F172A"/>
          <w:sz w:val="20"/>
        </w:rPr>
        <w:t>Opaque white (action required)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475569"/>
          <w:sz w:val="20"/>
        </w:rPr>
        <w:t xml:space="preserve">Corner smoothing: </w:t>
      </w:r>
      <w:r>
        <w:rPr>
          <w:rFonts w:ascii="Calibri" w:hAnsi="Calibri"/>
          <w:b w:val="0"/>
          <w:i w:val="0"/>
          <w:color w:val="0F172A"/>
          <w:sz w:val="20"/>
        </w:rPr>
        <w:t>60% (Figma squircle) — see Buttons section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475569"/>
          <w:sz w:val="20"/>
        </w:rPr>
        <w:t xml:space="preserve">Version: </w:t>
      </w:r>
      <w:r>
        <w:rPr>
          <w:rFonts w:ascii="Calibri" w:hAnsi="Calibri"/>
          <w:b w:val="0"/>
          <w:i w:val="0"/>
          <w:color w:val="0F172A"/>
          <w:sz w:val="20"/>
        </w:rPr>
        <w:t>v1.0 —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0F172A"/>
          <w:sz w:val="44"/>
        </w:rPr>
        <w:t>01 — Colour Palette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Two action colours establish intent across the entire system. Green signals internal, collaborative actions. Blue signals external dispatch. All colours are paired with a deep, light, ghost, and border variant.</w:t>
      </w:r>
    </w:p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ACTION COLOURS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Token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Hex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Usage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Pair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--c-blue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#3B7FF5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Send button default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External / dispatch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--c-blue-deep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#2563EB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Send button hover/filled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Deeper on interaction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--c-blue-light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#DBEAFE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Blue tint backgrounds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Tags, highlights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--c-blue-ghost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rgba(59,127,245,0.08)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Very subtle blue fill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Icon bg, hover bg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--c-blue-border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rgba(59,127,245,0.25)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Blue button border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Ghost button outline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--c-blue-ring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rgba(59,127,245,0.12)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Focus ring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Input focus state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--c-green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#1DC77A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Approve button default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Internal / ideation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--c-green-deep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#059669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Approve button hover/filled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Deeper on interaction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--c-green-light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#D1FAE5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Green tint backgrounds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Tags, highlights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--c-green-ghost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rgba(29,199,122,0.08)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Very subtle green fill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Icon bg, hover bg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--c-green-border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rgba(29,199,122,0.25)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Green button border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Ghost button outline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--c-green-ring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rgba(29,199,122,0.10)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Focus ring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Input focus state</w:t>
            </w:r>
          </w:p>
        </w:tc>
      </w:tr>
    </w:tbl>
    <w:p/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NEUTRALS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Token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Value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Usage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--c-white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#FFFFFF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Pure white — base background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--c-bg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#FFFFFF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Page background token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--c-surface-rest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rgba(255,255,255,0.45)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Resting component surface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--c-surface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rgba(255,255,255,0.72)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Default component surface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--c-surface-hover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rgba(255,255,255,0.88)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Hover component surface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--c-surface-active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rgba(255,255,255,1.00)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Active / action surface (opaque)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--c-border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rgba(0,0,0,0.07)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Default border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--c-border-strong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rgba(0,0,0,0.12)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Active / active state border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--c-text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#0F172A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Primary text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--c-text-2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#475569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Secondary text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--c-text-3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#94A3B8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Tertiary / placeholder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0F172A"/>
          <w:sz w:val="44"/>
        </w:rPr>
        <w:t>02 — Opacity Scale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The opacity scale drives the resting-to-active communication model. Components are translucent by default — they fade into the background until the user needs to act, at which point they become fully opaque and elevated.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Token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Value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Usage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--op-ghost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0.04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Invisible fill — background depth only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--op-subtle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0.08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Very faint fill — icon backgrounds, subtle highlights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--op-translucent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0.45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Resting glass components — unobtrusive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--op-semi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0.72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Default glass surface — components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--op-muted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0.88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Hover / focused surface — emerging into view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--op-opaque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1.00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Active surface — full attention, action required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Rule of thumb: if the user needs to take an action, the component must be at --op-opaque. If the component is ambient context, keep it at --op-translucent or below.</w:t>
      </w:r>
    </w:p>
    <w:p>
      <w:pPr>
        <w:spacing w:before="360" w:after="120"/>
      </w:pPr>
      <w:r>
        <w:rPr>
          <w:rFonts w:ascii="Calibri" w:hAnsi="Calibri"/>
          <w:b/>
          <w:i w:val="0"/>
          <w:color w:val="0F172A"/>
          <w:sz w:val="44"/>
        </w:rPr>
        <w:t>03 — Typography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Typeface: Outfit (Google Fonts). Load weights 300, 400, 500, 600, 700. All sizes in px. Points are listed for design tool parity (1pt = 1.333px at 96dpi).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Role</w:t>
            </w:r>
          </w:p>
        </w:tc>
        <w:tc>
          <w:tcPr>
            <w:tcW w:type="dxa" w:w="1512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Size</w:t>
            </w:r>
          </w:p>
        </w:tc>
        <w:tc>
          <w:tcPr>
            <w:tcW w:type="dxa" w:w="1512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Weight</w:t>
            </w:r>
          </w:p>
        </w:tc>
        <w:tc>
          <w:tcPr>
            <w:tcW w:type="dxa" w:w="1512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Letter-spacing</w:t>
            </w:r>
          </w:p>
        </w:tc>
        <w:tc>
          <w:tcPr>
            <w:tcW w:type="dxa" w:w="1512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Line-height</w:t>
            </w:r>
          </w:p>
        </w:tc>
        <w:tc>
          <w:tcPr>
            <w:tcW w:type="dxa" w:w="1512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Notes</w:t>
            </w:r>
          </w:p>
        </w:tc>
      </w:tr>
      <w:tr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Hero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48px / 36pt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300 Light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-2.5%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1.15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Page titles, covers</w:t>
            </w:r>
          </w:p>
        </w:tc>
      </w:tr>
      <w:tr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Display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32px / 24pt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600 Semibold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-2.0%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1.15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Section headers</w:t>
            </w:r>
          </w:p>
        </w:tc>
      </w:tr>
      <w:tr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Heading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26px / 20pt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500 Medium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-1.0%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1.15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Card / panel headings</w:t>
            </w:r>
          </w:p>
        </w:tc>
      </w:tr>
      <w:tr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Title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21px / 16pt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500 Medium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1.40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Sub-headings</w:t>
            </w:r>
          </w:p>
        </w:tc>
      </w:tr>
      <w:tr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Body lg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18px / 14pt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400 Regular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1.65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Introductory body</w:t>
            </w:r>
          </w:p>
        </w:tc>
      </w:tr>
      <w:tr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Body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16px / 12pt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400 Regular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1.65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Default body copy</w:t>
            </w:r>
          </w:p>
        </w:tc>
      </w:tr>
      <w:tr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13px / 10pt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400 Regular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1.65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Meta, timestamps</w:t>
            </w:r>
          </w:p>
        </w:tc>
      </w:tr>
      <w:tr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Label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11px / 8pt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600 Semibold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+6%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1.40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Uppercase labels, kickers</w:t>
            </w:r>
          </w:p>
        </w:tc>
      </w:tr>
      <w:tr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Mono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12px / 9pt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400 Regular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1.50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Code, tokens, hex values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0F172A"/>
          <w:sz w:val="44"/>
        </w:rPr>
        <w:t>04 — Background Styles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WEB CANVAS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White base with a subtle dot grid pattern for depth perception. A time-based horizon glow sits fixed at the bottom of the viewport, shifting colour throughout the day without competing for attention.</w:t>
      </w:r>
    </w:p>
    <w:p/>
    <w:p>
      <w:pPr>
        <w:spacing w:after="40"/>
        <w:ind w:left="432"/>
      </w:pPr>
      <w:r>
        <w:rPr>
          <w:rFonts w:ascii="Courier New" w:hAnsi="Courier New"/>
          <w:b w:val="0"/>
          <w:i w:val="0"/>
          <w:color w:val="64748B"/>
          <w:sz w:val="18"/>
        </w:rPr>
        <w:t>background-color: #FFFFFF;</w:t>
      </w:r>
    </w:p>
    <w:p>
      <w:pPr>
        <w:spacing w:after="40"/>
        <w:ind w:left="432"/>
      </w:pPr>
      <w:r>
        <w:rPr>
          <w:rFonts w:ascii="Courier New" w:hAnsi="Courier New"/>
          <w:b w:val="0"/>
          <w:i w:val="0"/>
          <w:color w:val="64748B"/>
          <w:sz w:val="18"/>
        </w:rPr>
        <w:t>background-image: radial-gradient(circle, rgba(0,0,0,0.055) 1px, transparent 1px);</w:t>
      </w:r>
    </w:p>
    <w:p>
      <w:pPr>
        <w:spacing w:after="40"/>
        <w:ind w:left="432"/>
      </w:pPr>
      <w:r>
        <w:rPr>
          <w:rFonts w:ascii="Courier New" w:hAnsi="Courier New"/>
          <w:b w:val="0"/>
          <w:i w:val="0"/>
          <w:color w:val="64748B"/>
          <w:sz w:val="18"/>
        </w:rPr>
        <w:t>background-size: 22px 22px;</w:t>
      </w:r>
    </w:p>
    <w:p/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MOBILE CANVAS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White base with blue and green diffused gradients — top-left blue, bottom-right green. The gradient is subtle; components sit above it using glass/translucent surfaces.</w:t>
      </w:r>
    </w:p>
    <w:p/>
    <w:p>
      <w:pPr>
        <w:spacing w:after="40"/>
        <w:ind w:left="432"/>
      </w:pPr>
      <w:r>
        <w:rPr>
          <w:rFonts w:ascii="Courier New" w:hAnsi="Courier New"/>
          <w:b w:val="0"/>
          <w:i w:val="0"/>
          <w:color w:val="64748B"/>
          <w:sz w:val="18"/>
        </w:rPr>
        <w:t>background: linear-gradient(</w:t>
      </w:r>
    </w:p>
    <w:p>
      <w:pPr>
        <w:spacing w:after="40"/>
        <w:ind w:left="432"/>
      </w:pPr>
      <w:r>
        <w:rPr>
          <w:rFonts w:ascii="Courier New" w:hAnsi="Courier New"/>
          <w:b w:val="0"/>
          <w:i w:val="0"/>
          <w:color w:val="64748B"/>
          <w:sz w:val="18"/>
        </w:rPr>
        <w:t xml:space="preserve">  155deg,</w:t>
      </w:r>
    </w:p>
    <w:p>
      <w:pPr>
        <w:spacing w:after="40"/>
        <w:ind w:left="432"/>
      </w:pPr>
      <w:r>
        <w:rPr>
          <w:rFonts w:ascii="Courier New" w:hAnsi="Courier New"/>
          <w:b w:val="0"/>
          <w:i w:val="0"/>
          <w:color w:val="64748B"/>
          <w:sz w:val="18"/>
        </w:rPr>
        <w:t xml:space="preserve">  rgba(59, 127, 245, 0.18)  0%,</w:t>
      </w:r>
    </w:p>
    <w:p>
      <w:pPr>
        <w:spacing w:after="40"/>
        <w:ind w:left="432"/>
      </w:pPr>
      <w:r>
        <w:rPr>
          <w:rFonts w:ascii="Courier New" w:hAnsi="Courier New"/>
          <w:b w:val="0"/>
          <w:i w:val="0"/>
          <w:color w:val="64748B"/>
          <w:sz w:val="18"/>
        </w:rPr>
        <w:t xml:space="preserve">  rgba(255, 255, 255, 1.00) 45%,</w:t>
      </w:r>
    </w:p>
    <w:p>
      <w:pPr>
        <w:spacing w:after="40"/>
        <w:ind w:left="432"/>
      </w:pPr>
      <w:r>
        <w:rPr>
          <w:rFonts w:ascii="Courier New" w:hAnsi="Courier New"/>
          <w:b w:val="0"/>
          <w:i w:val="0"/>
          <w:color w:val="64748B"/>
          <w:sz w:val="18"/>
        </w:rPr>
        <w:t xml:space="preserve">  rgba(29, 199, 122, 0.12)  100%</w:t>
      </w:r>
    </w:p>
    <w:p>
      <w:pPr>
        <w:spacing w:after="40"/>
        <w:ind w:left="432"/>
      </w:pPr>
      <w:r>
        <w:rPr>
          <w:rFonts w:ascii="Courier New" w:hAnsi="Courier New"/>
          <w:b w:val="0"/>
          <w:i w:val="0"/>
          <w:color w:val="64748B"/>
          <w:sz w:val="18"/>
        </w:rPr>
        <w:t>);</w:t>
      </w:r>
    </w:p>
    <w:p/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TIME-BASED HORIZON GLOW (WEB)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A radial gradient fixed at the bottom of the viewport (height: 35vh) shifts colour based on the hour of day. It transitions over 2 seconds and sits beneath all content (z-index: 0, pointer-events: none).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Time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Colour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Name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5am – 8am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rgba(251, 191,  36, 0.22)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Dawn — warm amber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8am – 12pm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rgba(147, 197, 253, 0.18)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Morning — soft blue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12pm – 3pm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rgba(255, 255, 255, 0.00)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Midday — no glow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3pm – 6pm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rgba(253, 186, 116, 0.22)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Afternoon — warm peach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6pm – 8pm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rgba(196, 181, 253, 0.28)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Evening — violet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8pm – 11pm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rgba( 96, 165, 250, 0.22)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Night — blue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11pm – 5am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rgba( 30,  58, 138, 0.16)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Late night — deep blue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Set --glow-color on :root via JavaScript. Transition: background 2s ease.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0F172A"/>
          <w:sz w:val="44"/>
        </w:rPr>
        <w:t>05 — Button System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Three tiers scale with action weight. Ghost state is the default — unobtrusive, translucent. Filled state is used when an action is required. Tier and colour encode intent at a glance.</w:t>
      </w:r>
    </w:p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BUTTON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Tier</w:t>
            </w:r>
          </w:p>
        </w:tc>
        <w:tc>
          <w:tcPr>
            <w:tcW w:type="dxa" w:w="129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Intent</w:t>
            </w:r>
          </w:p>
        </w:tc>
        <w:tc>
          <w:tcPr>
            <w:tcW w:type="dxa" w:w="129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Padding (v / h)</w:t>
            </w:r>
          </w:p>
        </w:tc>
        <w:tc>
          <w:tcPr>
            <w:tcW w:type="dxa" w:w="129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Font size</w:t>
            </w:r>
          </w:p>
        </w:tc>
        <w:tc>
          <w:tcPr>
            <w:tcW w:type="dxa" w:w="129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Radius</w:t>
            </w:r>
          </w:p>
        </w:tc>
        <w:tc>
          <w:tcPr>
            <w:tcW w:type="dxa" w:w="129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Colour</w:t>
            </w:r>
          </w:p>
        </w:tc>
        <w:tc>
          <w:tcPr>
            <w:tcW w:type="dxa" w:w="129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CSS tokens</w:t>
            </w:r>
          </w:p>
        </w:tc>
      </w:tr>
      <w:tr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Micro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Internal ideation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4px / 8px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16px (12pt)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16px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Green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--btn-micro-*</w:t>
            </w:r>
          </w:p>
        </w:tc>
      </w:tr>
      <w:tr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Mid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Semi-internal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26px / 24px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16px (12pt)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20px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Green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--btn-mid-*</w:t>
            </w:r>
          </w:p>
        </w:tc>
      </w:tr>
      <w:tr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Send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External / send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24px / 32px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21px (16pt)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20px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Blue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--btn-send-*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Corner smoothing: 60% in Figma (superellipse / squircle). In CSS, use the border-radius values above as the standard equivalent. For production squircle, use the figma-squircle library or the emerging CSS corner-shape property.</w:t>
      </w:r>
    </w:p>
    <w:p/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BUTTON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State</w:t>
            </w:r>
          </w:p>
        </w:tc>
        <w:tc>
          <w:tcPr>
            <w:tcW w:type="dxa" w:w="181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Background</w:t>
            </w:r>
          </w:p>
        </w:tc>
        <w:tc>
          <w:tcPr>
            <w:tcW w:type="dxa" w:w="181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Border</w:t>
            </w:r>
          </w:p>
        </w:tc>
        <w:tc>
          <w:tcPr>
            <w:tcW w:type="dxa" w:w="181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Box-shadow</w:t>
            </w:r>
          </w:p>
        </w:tc>
        <w:tc>
          <w:tcPr>
            <w:tcW w:type="dxa" w:w="181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Transform</w:t>
            </w:r>
          </w:p>
        </w:tc>
      </w:tr>
      <w:tr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Ghost (default)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white 72% + blur(8px)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colour 25%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</w:tr>
      <w:tr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Hover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white 92% + blur(8px)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colour 50%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coloured shadow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translateY(-1px)</w:t>
            </w:r>
          </w:p>
        </w:tc>
      </w:tr>
      <w:tr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Pressed/Active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white 100%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colour 100%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translateY(0)</w:t>
            </w:r>
          </w:p>
        </w:tc>
      </w:tr>
      <w:tr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Filled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colour 100%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colour 100%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</w:tr>
      <w:tr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Filled hover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colour-deep 100%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colour-deep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larger shadow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translateY(-1px)</w:t>
            </w:r>
          </w:p>
        </w:tc>
      </w:tr>
      <w:tr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Loading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ghost (opacity 0.7)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as ghost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 + spinner</w:t>
            </w:r>
          </w:p>
        </w:tc>
      </w:tr>
      <w:tr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Disabled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ghost (opacity 0.38)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as ghost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none, cursor: not-allowed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i w:val="0"/>
          <w:color w:val="0F172A"/>
          <w:sz w:val="44"/>
        </w:rPr>
        <w:t>06 — Component Tokens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GLASS CARD — RESTING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Property</w:t>
            </w:r>
          </w:p>
        </w:tc>
        <w:tc>
          <w:tcPr>
            <w:tcW w:type="dxa" w:w="453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Value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background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rgba(255,255,255,0.72)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backdrop-filter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blur(16px)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border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1px solid rgba(0,0,0,0.07)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border-radius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20px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box-shadow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2px 16px rgba(0,0,0,0.05), 0 1px 3px rgba(0,0,0,0.04)</w:t>
            </w:r>
          </w:p>
        </w:tc>
      </w:tr>
    </w:tbl>
    <w:p/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GLASS CARD — ACTIVE (ACTION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Property</w:t>
            </w:r>
          </w:p>
        </w:tc>
        <w:tc>
          <w:tcPr>
            <w:tcW w:type="dxa" w:w="4536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Value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background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rgba(255,255,255,1.00)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backdrop-filter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border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1px solid rgba(0,0,0,0.12)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border-radius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20px</w:t>
            </w:r>
          </w:p>
        </w:tc>
      </w:tr>
      <w:tr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box-shadow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6px 28px rgba(0,0,0,0.08), 0 2px 8px rgba(0,0,0,0.05)</w:t>
            </w:r>
          </w:p>
        </w:tc>
      </w:tr>
    </w:tbl>
    <w:p/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INPUT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State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Background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Border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Box-shadow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Default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white 72% + blur(8px)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rgba(0,0,0,0.07)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Focus (blue)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white 100%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var(--c-blue)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0 0 3px rgba(59,127,245,0.12)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Approved (green)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white 100%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var(--c-green)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0 0 3px rgba(29,199,122,0.10)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Disabled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white 72%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rgba(0,0,0,0.07)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none, opacity 0.38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0F172A"/>
          <w:sz w:val="44"/>
        </w:rPr>
        <w:t>07 — Spacing &amp; Radii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SPACING SCALE — BASE 4PX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Token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Value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Common usage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--sp-1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Micro gaps, icon padding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--sp-2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8px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Button micro padding, tight gaps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--sp-3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Input padding, small gaps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--sp-4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16px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Default padding, between elements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--sp-5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Card inner spacing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--sp-6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24px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Section padding, button mid horizontal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--sp-8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32px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Large gaps, button send horizontal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--sp-10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Section spacing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--sp-12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48px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Large section padding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--sp-16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64px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Hero / header spacing</w:t>
            </w:r>
          </w:p>
        </w:tc>
      </w:tr>
    </w:tbl>
    <w:p/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BORDER RADII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Token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Value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Applied to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--r-xs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Tags, small chips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--r-sm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8px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utility elements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--r-md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Inputs, medium components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--r-lg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16px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Micro button (60% smooth)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--r-xl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Mid/Send buttons, cards (60% smooth)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--r-2xl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28px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Modal, drawer headers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--r-pill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999px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Nav chips, full-round badges</w:t>
            </w:r>
          </w:p>
        </w:tc>
      </w:tr>
    </w:tbl>
    <w:p/>
    <w:p>
      <w:pPr>
        <w:spacing w:before="280" w:after="40"/>
      </w:pPr>
      <w:r>
        <w:rPr>
          <w:rFonts w:ascii="Calibri" w:hAnsi="Calibri"/>
          <w:b/>
          <w:i w:val="0"/>
          <w:color w:val="94A3B8"/>
          <w:sz w:val="16"/>
        </w:rPr>
        <w:t>SHADOWS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Token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Value</w:t>
            </w:r>
          </w:p>
        </w:tc>
        <w:tc>
          <w:tcPr>
            <w:tcW w:type="dxa" w:w="3024"/>
            <w:shd w:val="clear" w:color="auto" w:fill="EFF6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/>
                <w:i w:val="0"/>
                <w:color w:val="475569"/>
                <w:sz w:val="16"/>
              </w:rPr>
              <w:t>Usage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--sh-glass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2px 16px rgba(0,0,0,0.05), 0 1px 3px rgba(0,0,0,0.04)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Default glass cards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--sh-raised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6px 28px rgba(0,0,0,0.08), 0 2px 8px rgba(0,0,0,0.05)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Active cards, modals</w:t>
            </w:r>
          </w:p>
        </w:tc>
      </w:tr>
      <w:tr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--sh-float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16px 48px rgba(0,0,0,0.10), 0 4px 12px rgba(0,0,0,0.06)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Floating panels, mobile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