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3125242b10c220edbf08275d8dd1d80c6a0f467"/>
    <w:p>
      <w:pPr>
        <w:pStyle w:val="Heading1"/>
      </w:pPr>
      <w:r>
        <w:t xml:space="preserve">Araf‑Protokol Hata Avı ve İşlevsel Eksiklikler Değerlendirmesi</w:t>
      </w:r>
    </w:p>
    <w:p>
      <w:pPr>
        <w:pStyle w:val="FirstParagraph"/>
      </w:pPr>
      <w:r>
        <w:t xml:space="preserve">Bu rapor,</w:t>
      </w:r>
      <w:r>
        <w:t xml:space="preserve"> </w:t>
      </w:r>
      <w:r>
        <w:rPr>
          <w:b/>
          <w:bCs/>
        </w:rPr>
        <w:t xml:space="preserve">Araf‑Protokol</w:t>
      </w:r>
      <w:r>
        <w:t xml:space="preserve"> </w:t>
      </w:r>
      <w:r>
        <w:t xml:space="preserve">deposu üzerinde yapılan derin inceleme sırasında tespit edilen potansiyel güvenlik açıklarını, işlevsel eksiklikleri ve yöntem hatalarını özetlemektedir. Her bulgu, depodaki belirli kod satırlarına referans veren alıntılarla desteklenir. Amacımız, kamuya açık kullanılmadan önce güvenliği ve sağlamlığı artırmaktır.</w:t>
      </w:r>
    </w:p>
    <w:bookmarkStart w:id="28" w:name="büyük-sayı-dönüştürme-hataları"/>
    <w:p>
      <w:pPr>
        <w:pStyle w:val="Heading2"/>
      </w:pPr>
      <w:r>
        <w:t xml:space="preserve">1 Büyük Sayı Dönüştürme Hataları</w:t>
      </w:r>
    </w:p>
    <w:bookmarkStart w:id="21" w:name="risk"/>
    <w:p>
      <w:pPr>
        <w:pStyle w:val="Heading3"/>
      </w:pPr>
      <w:r>
        <w:t xml:space="preserve">Risk</w:t>
      </w:r>
    </w:p>
    <w:p>
      <w:pPr>
        <w:pStyle w:val="FirstParagraph"/>
      </w:pPr>
      <w:r>
        <w:t xml:space="preserve">Akıllı sözleşmede sipariş kimliği, işlem kimliği ve emanet kimliği gibi zincir üzerindeki tanımlayıcılar</w:t>
      </w:r>
      <w:r>
        <w:t xml:space="preserve"> </w:t>
      </w:r>
      <w:r>
        <w:rPr>
          <w:rStyle w:val="VerbatimChar"/>
        </w:rPr>
        <w:t xml:space="preserve">uint256</w:t>
      </w:r>
      <w:r>
        <w:t xml:space="preserve"> </w:t>
      </w:r>
      <w:r>
        <w:t xml:space="preserve">tipinde saklanır. Arka uçta bu kimlikler sıklıkla JavaScript’in</w:t>
      </w:r>
      <w:r>
        <w:t xml:space="preserve"> </w:t>
      </w:r>
      <w:r>
        <w:rPr>
          <w:rStyle w:val="VerbatimChar"/>
        </w:rPr>
        <w:t xml:space="preserve">Number()</w:t>
      </w:r>
      <w:r>
        <w:t xml:space="preserve"> </w:t>
      </w:r>
      <w:r>
        <w:t xml:space="preserve">işlevi ile ayrıştırılır (örneğin</w:t>
      </w:r>
      <w:r>
        <w:t xml:space="preserve"> </w:t>
      </w:r>
      <w:r>
        <w:rPr>
          <w:rStyle w:val="VerbatimChar"/>
        </w:rPr>
        <w:t xml:space="preserve">Number(req.params.onchainId)</w:t>
      </w:r>
      <w:r>
        <w:t xml:space="preserve">) ve</w:t>
      </w:r>
      <w:r>
        <w:t xml:space="preserve"> </w:t>
      </w:r>
      <w:r>
        <w:rPr>
          <w:rStyle w:val="VerbatimChar"/>
        </w:rPr>
        <w:t xml:space="preserve">Number.isInteger</w:t>
      </w:r>
      <w:r>
        <w:t xml:space="preserve"> </w:t>
      </w:r>
      <w:r>
        <w:t xml:space="preserve">ile doğrulanır. JavaScript’in</w:t>
      </w:r>
      <w:r>
        <w:t xml:space="preserve"> </w:t>
      </w:r>
      <w:r>
        <w:rPr>
          <w:rStyle w:val="VerbatimChar"/>
        </w:rPr>
        <w:t xml:space="preserve">Number</w:t>
      </w:r>
      <w:r>
        <w:t xml:space="preserve"> </w:t>
      </w:r>
      <w:r>
        <w:t xml:space="preserve">tipi 53 bit hassasiyetle sınırlıdır; kimlik değeri</w:t>
      </w:r>
      <w:r>
        <w:t xml:space="preserve"> </w:t>
      </w:r>
      <w:r>
        <w:rPr>
          <w:rStyle w:val="VerbatimChar"/>
        </w:rPr>
        <w:t xml:space="preserve">2^53‑1</w:t>
      </w:r>
      <w:r>
        <w:t xml:space="preserve">’i aştığında dönüşümlerde hassasiyet kaybolur ve şu sorunlar oluşabilir:</w:t>
      </w:r>
    </w:p>
    <w:p>
      <w:pPr>
        <w:pStyle w:val="Compact"/>
        <w:numPr>
          <w:ilvl w:val="0"/>
          <w:numId w:val="1001"/>
        </w:numPr>
      </w:pPr>
      <w:r>
        <w:t xml:space="preserve">Zincir üzerindeki bir sipariş/işlem/emanet ile veritabanı kaydı arasındaki eşlemenin bozulması</w:t>
      </w:r>
    </w:p>
    <w:p>
      <w:pPr>
        <w:pStyle w:val="Compact"/>
        <w:numPr>
          <w:ilvl w:val="0"/>
          <w:numId w:val="1001"/>
        </w:numPr>
      </w:pPr>
      <w:r>
        <w:t xml:space="preserve">Geçerli kimliklerin</w:t>
      </w:r>
      <w:r>
        <w:t xml:space="preserve"> </w:t>
      </w:r>
      <w:r>
        <w:rPr>
          <w:rStyle w:val="VerbatimChar"/>
        </w:rPr>
        <w:t xml:space="preserve">Number.isInteger</w:t>
      </w:r>
      <w:r>
        <w:t xml:space="preserve"> </w:t>
      </w:r>
      <w:r>
        <w:rPr>
          <w:rStyle w:val="VerbatimChar"/>
        </w:rPr>
        <w:t xml:space="preserve">false</w:t>
      </w:r>
      <w:r>
        <w:t xml:space="preserve"> </w:t>
      </w:r>
      <w:r>
        <w:t xml:space="preserve">döndürmesi nedeniyle reddedilmesi</w:t>
      </w:r>
    </w:p>
    <w:p>
      <w:pPr>
        <w:pStyle w:val="Compact"/>
        <w:numPr>
          <w:ilvl w:val="0"/>
          <w:numId w:val="1001"/>
        </w:numPr>
      </w:pPr>
      <w:r>
        <w:t xml:space="preserve">Saldırganın büyük kimlikler kullanarak kontrolleri atlatması veya hizmet engelleme oluşturması</w:t>
      </w:r>
    </w:p>
    <w:bookmarkEnd w:id="21"/>
    <w:bookmarkStart w:id="26" w:name="kanıtlar"/>
    <w:p>
      <w:pPr>
        <w:pStyle w:val="Heading3"/>
      </w:pPr>
      <w:r>
        <w:t xml:space="preserve">Kanıtlar</w:t>
      </w:r>
    </w:p>
    <w:p>
      <w:pPr>
        <w:pStyle w:val="Compact"/>
        <w:numPr>
          <w:ilvl w:val="0"/>
          <w:numId w:val="1002"/>
        </w:numPr>
      </w:pPr>
      <w:r>
        <w:rPr>
          <w:b/>
          <w:bCs/>
        </w:rPr>
        <w:t xml:space="preserve">trades route</w:t>
      </w:r>
      <w:r>
        <w:t xml:space="preserve"> </w:t>
      </w:r>
      <w:r>
        <w:t xml:space="preserve">içinde</w:t>
      </w:r>
      <w:r>
        <w:t xml:space="preserve"> </w:t>
      </w:r>
      <w:r>
        <w:rPr>
          <w:rStyle w:val="VerbatimChar"/>
        </w:rPr>
        <w:t xml:space="preserve">onchainId</w:t>
      </w:r>
      <w:r>
        <w:t xml:space="preserve"> </w:t>
      </w:r>
      <w:r>
        <w:t xml:space="preserve">şu şekilde ayrıştırılır:</w:t>
      </w:r>
      <w:r>
        <w:t xml:space="preserve"> </w:t>
      </w:r>
      <w:r>
        <w:rPr>
          <w:rStyle w:val="VerbatimChar"/>
        </w:rPr>
        <w:t xml:space="preserve">const onchainId = Number(req.params.onchainId)</w:t>
      </w:r>
      <w:r>
        <w:t xml:space="preserve"> </w:t>
      </w:r>
      <w:r>
        <w:t xml:space="preserve">ve</w:t>
      </w:r>
      <w:r>
        <w:t xml:space="preserve"> </w:t>
      </w:r>
      <w:r>
        <w:rPr>
          <w:rStyle w:val="VerbatimChar"/>
        </w:rPr>
        <w:t xml:space="preserve">Number.isInteger</w:t>
      </w:r>
      <w:r>
        <w:t xml:space="preserve"> </w:t>
      </w:r>
      <w:r>
        <w:t xml:space="preserve">ile doğrulanır</w:t>
      </w:r>
      <w:hyperlink r:id="rId22">
        <w:r>
          <w:rPr>
            <w:rStyle w:val="Hyperlink"/>
          </w:rPr>
          <w:t xml:space="preserve">[1]</w:t>
        </w:r>
      </w:hyperlink>
      <w:r>
        <w:t xml:space="preserve">. Bu, büyük kimliklerin reddedilmesine neden olabilir.</w:t>
      </w:r>
    </w:p>
    <w:p>
      <w:pPr>
        <w:pStyle w:val="Compact"/>
        <w:numPr>
          <w:ilvl w:val="0"/>
          <w:numId w:val="1002"/>
        </w:numPr>
      </w:pPr>
      <w:r>
        <w:rPr>
          <w:b/>
          <w:bCs/>
        </w:rPr>
        <w:t xml:space="preserve">orders route</w:t>
      </w:r>
      <w:r>
        <w:t xml:space="preserve"> </w:t>
      </w:r>
      <w:r>
        <w:t xml:space="preserve">benzer şekilde</w:t>
      </w:r>
      <w:r>
        <w:t xml:space="preserve"> </w:t>
      </w:r>
      <w:r>
        <w:rPr>
          <w:rStyle w:val="VerbatimChar"/>
        </w:rPr>
        <w:t xml:space="preserve">onchainOrderId</w:t>
      </w:r>
      <w:r>
        <w:t xml:space="preserve"> </w:t>
      </w:r>
      <w:r>
        <w:t xml:space="preserve">için dönüşüm yapar</w:t>
      </w:r>
      <w:hyperlink r:id="rId23">
        <w:r>
          <w:rPr>
            <w:rStyle w:val="Hyperlink"/>
          </w:rPr>
          <w:t xml:space="preserve">[2]</w:t>
        </w:r>
      </w:hyperlink>
      <w:r>
        <w:t xml:space="preserve">.</w:t>
      </w:r>
    </w:p>
    <w:p>
      <w:pPr>
        <w:pStyle w:val="Compact"/>
        <w:numPr>
          <w:ilvl w:val="0"/>
          <w:numId w:val="1002"/>
        </w:numPr>
      </w:pPr>
      <w:r>
        <w:rPr>
          <w:b/>
          <w:bCs/>
        </w:rPr>
        <w:t xml:space="preserve">receipts route</w:t>
      </w:r>
      <w:r>
        <w:t xml:space="preserve">,</w:t>
      </w:r>
      <w:r>
        <w:t xml:space="preserve"> </w:t>
      </w:r>
      <w:r>
        <w:rPr>
          <w:rStyle w:val="VerbatimChar"/>
        </w:rPr>
        <w:t xml:space="preserve">onchainEscrowId</w:t>
      </w:r>
      <w:r>
        <w:t xml:space="preserve"> </w:t>
      </w:r>
      <w:r>
        <w:t xml:space="preserve">için</w:t>
      </w:r>
      <w:r>
        <w:t xml:space="preserve"> </w:t>
      </w:r>
      <w:r>
        <w:rPr>
          <w:rStyle w:val="VerbatimChar"/>
        </w:rPr>
        <w:t xml:space="preserve">Number(rawId)</w:t>
      </w:r>
      <w:r>
        <w:t xml:space="preserve"> </w:t>
      </w:r>
      <w:r>
        <w:t xml:space="preserve">kullanır</w:t>
      </w:r>
      <w:hyperlink r:id="rId24">
        <w:r>
          <w:rPr>
            <w:rStyle w:val="Hyperlink"/>
          </w:rPr>
          <w:t xml:space="preserve">[3]</w:t>
        </w:r>
      </w:hyperlink>
      <w:r>
        <w:t xml:space="preserve">.</w:t>
      </w:r>
    </w:p>
    <w:p>
      <w:pPr>
        <w:pStyle w:val="Compact"/>
        <w:numPr>
          <w:ilvl w:val="0"/>
          <w:numId w:val="1002"/>
        </w:numPr>
      </w:pPr>
      <w:r>
        <w:rPr>
          <w:b/>
          <w:bCs/>
        </w:rPr>
        <w:t xml:space="preserve">event listener</w:t>
      </w:r>
      <w:r>
        <w:t xml:space="preserve">, zincir üzerindeki kimlikleri JS sayısına dönüştürmek için</w:t>
      </w:r>
      <w:r>
        <w:t xml:space="preserve"> </w:t>
      </w:r>
      <w:r>
        <w:rPr>
          <w:rStyle w:val="VerbatimChar"/>
        </w:rPr>
        <w:t xml:space="preserve">_toNum</w:t>
      </w:r>
      <w:r>
        <w:t xml:space="preserve"> </w:t>
      </w:r>
      <w:r>
        <w:t xml:space="preserve">kullanır ve yalnızca sayısal alanlar için güvenli dönüştürme olduğunu belirtir</w:t>
      </w:r>
      <w:hyperlink r:id="rId25">
        <w:r>
          <w:rPr>
            <w:rStyle w:val="Hyperlink"/>
          </w:rPr>
          <w:t xml:space="preserve">[4]</w:t>
        </w:r>
      </w:hyperlink>
      <w:r>
        <w:t xml:space="preserve">.</w:t>
      </w:r>
    </w:p>
    <w:bookmarkEnd w:id="26"/>
    <w:bookmarkStart w:id="27" w:name="öneri"/>
    <w:p>
      <w:pPr>
        <w:pStyle w:val="Heading3"/>
      </w:pPr>
      <w:r>
        <w:t xml:space="preserve">Öneri</w:t>
      </w:r>
    </w:p>
    <w:p>
      <w:pPr>
        <w:pStyle w:val="FirstParagraph"/>
      </w:pPr>
      <w:r>
        <w:t xml:space="preserve">Zincir üzerindeki kimlikleri arka uçta</w:t>
      </w:r>
      <w:r>
        <w:t xml:space="preserve"> </w:t>
      </w:r>
      <w:r>
        <w:rPr>
          <w:b/>
          <w:bCs/>
        </w:rPr>
        <w:t xml:space="preserve">string</w:t>
      </w:r>
      <w:r>
        <w:t xml:space="preserve"> </w:t>
      </w:r>
      <w:r>
        <w:t xml:space="preserve">veya</w:t>
      </w:r>
      <w:r>
        <w:t xml:space="preserve"> </w:t>
      </w:r>
      <w:r>
        <w:rPr>
          <w:b/>
          <w:bCs/>
        </w:rPr>
        <w:t xml:space="preserve">BigInt</w:t>
      </w:r>
      <w:r>
        <w:t xml:space="preserve"> </w:t>
      </w:r>
      <w:r>
        <w:t xml:space="preserve">olarak saklayın ve işleyin. 53 biti aşabilecek değerler için</w:t>
      </w:r>
      <w:r>
        <w:t xml:space="preserve"> </w:t>
      </w:r>
      <w:r>
        <w:rPr>
          <w:rStyle w:val="VerbatimChar"/>
        </w:rPr>
        <w:t xml:space="preserve">Number()</w:t>
      </w:r>
      <w:r>
        <w:t xml:space="preserve"> </w:t>
      </w:r>
      <w:r>
        <w:t xml:space="preserve">kullanmaktan kaçının. Sayısal karşılaştırma gerektiğinde</w:t>
      </w:r>
      <w:r>
        <w:t xml:space="preserve"> </w:t>
      </w:r>
      <w:r>
        <w:rPr>
          <w:rStyle w:val="VerbatimChar"/>
        </w:rPr>
        <w:t xml:space="preserve">bigint</w:t>
      </w:r>
      <w:r>
        <w:t xml:space="preserve"> </w:t>
      </w:r>
      <w:r>
        <w:t xml:space="preserve">tipi veya</w:t>
      </w:r>
      <w:r>
        <w:t xml:space="preserve"> </w:t>
      </w:r>
      <w:r>
        <w:rPr>
          <w:rStyle w:val="VerbatimChar"/>
        </w:rPr>
        <w:t xml:space="preserve">bn.js</w:t>
      </w:r>
      <w:r>
        <w:t xml:space="preserve"> </w:t>
      </w:r>
      <w:r>
        <w:t xml:space="preserve">gibi kütüphaneler kullanın. Tüm uç noktaları ve olay işleyicileri güncelleyerek büyük kimlik değerleri için testler ekleyin.</w:t>
      </w:r>
    </w:p>
    <w:bookmarkEnd w:id="27"/>
    <w:bookmarkEnd w:id="28"/>
    <w:bookmarkStart w:id="33" w:name="doğrulanmamış-jwt-çözme"/>
    <w:p>
      <w:pPr>
        <w:pStyle w:val="Heading2"/>
      </w:pPr>
      <w:r>
        <w:t xml:space="preserve">2 Doğrulanmamış JWT Çözme</w:t>
      </w:r>
    </w:p>
    <w:bookmarkStart w:id="29" w:name="risk-1"/>
    <w:p>
      <w:pPr>
        <w:pStyle w:val="Heading3"/>
      </w:pPr>
      <w:r>
        <w:t xml:space="preserve">Risk</w:t>
      </w:r>
    </w:p>
    <w:p>
      <w:pPr>
        <w:pStyle w:val="FirstParagraph"/>
      </w:pPr>
      <w:r>
        <w:rPr>
          <w:rStyle w:val="VerbatimChar"/>
        </w:rPr>
        <w:t xml:space="preserve">backend/scripts/routes/auth.js</w:t>
      </w:r>
      <w:r>
        <w:t xml:space="preserve"> </w:t>
      </w:r>
      <w:r>
        <w:t xml:space="preserve">dosyasındaki</w:t>
      </w:r>
      <w:r>
        <w:t xml:space="preserve"> </w:t>
      </w:r>
      <w:r>
        <w:rPr>
          <w:rStyle w:val="VerbatimChar"/>
        </w:rPr>
        <w:t xml:space="preserve">_tryDecodeWalletFromJwtCookie</w:t>
      </w:r>
      <w:r>
        <w:t xml:space="preserve"> </w:t>
      </w:r>
      <w:r>
        <w:t xml:space="preserve">yardımcısı, JWT imzasını doğrulamadan base64 kullanarak JWT yükünü çözüyor. Bu çözülen adres, oturum yenileme veya token döndürme sırasında "beklenen" cüzdan olarak kullanılıyor. Bir saldırgan, sahte yük içeren özel JWT üreterek oturum davranışını etkileyebilir.</w:t>
      </w:r>
    </w:p>
    <w:bookmarkEnd w:id="29"/>
    <w:bookmarkStart w:id="31" w:name="kanıtlar-1"/>
    <w:p>
      <w:pPr>
        <w:pStyle w:val="Heading3"/>
      </w:pPr>
      <w:r>
        <w:t xml:space="preserve">Kanıtlar</w:t>
      </w:r>
    </w:p>
    <w:p>
      <w:pPr>
        <w:pStyle w:val="FirstParagraph"/>
      </w:pPr>
      <w:r>
        <w:t xml:space="preserve">Yardımcı işlev, token’ı ayırır, yükü çözer ve imza kontrolü olmadan cüzdan adresini döndürür</w:t>
      </w:r>
      <w:hyperlink r:id="rId30">
        <w:r>
          <w:rPr>
            <w:rStyle w:val="Hyperlink"/>
          </w:rPr>
          <w:t xml:space="preserve">[5]</w:t>
        </w:r>
      </w:hyperlink>
      <w:r>
        <w:t xml:space="preserve">. Ana kod yolu</w:t>
      </w:r>
      <w:r>
        <w:t xml:space="preserve"> </w:t>
      </w:r>
      <w:r>
        <w:rPr>
          <w:rStyle w:val="VerbatimChar"/>
        </w:rPr>
        <w:t xml:space="preserve">verifyJWT</w:t>
      </w:r>
      <w:r>
        <w:t xml:space="preserve"> </w:t>
      </w:r>
      <w:r>
        <w:t xml:space="preserve">kullanarak imzaları doğrulasa ve</w:t>
      </w:r>
      <w:r>
        <w:t xml:space="preserve"> </w:t>
      </w:r>
      <w:r>
        <w:rPr>
          <w:rStyle w:val="VerbatimChar"/>
        </w:rPr>
        <w:t xml:space="preserve">req.sessionWallet</w:t>
      </w:r>
      <w:r>
        <w:t xml:space="preserve"> </w:t>
      </w:r>
      <w:r>
        <w:t xml:space="preserve">ile karşılaştırsa da, yedek çözme bazı akışlarda (örneğin</w:t>
      </w:r>
      <w:r>
        <w:t xml:space="preserve"> </w:t>
      </w:r>
      <w:r>
        <w:rPr>
          <w:rStyle w:val="VerbatimChar"/>
        </w:rPr>
        <w:t xml:space="preserve">refresh</w:t>
      </w:r>
      <w:r>
        <w:t xml:space="preserve">) kullanılıyor.</w:t>
      </w:r>
    </w:p>
    <w:bookmarkEnd w:id="31"/>
    <w:bookmarkStart w:id="32" w:name="öneri-1"/>
    <w:p>
      <w:pPr>
        <w:pStyle w:val="Heading3"/>
      </w:pPr>
      <w:r>
        <w:t xml:space="preserve">Öneri</w:t>
      </w:r>
    </w:p>
    <w:p>
      <w:pPr>
        <w:pStyle w:val="FirstParagraph"/>
      </w:pPr>
      <w:r>
        <w:t xml:space="preserve">Doğrulanmamış çözme işlevini kaldırın veya</w:t>
      </w:r>
      <w:r>
        <w:t xml:space="preserve"> </w:t>
      </w:r>
      <w:r>
        <w:rPr>
          <w:b/>
          <w:bCs/>
        </w:rPr>
        <w:t xml:space="preserve">yalnızca güvenlik açısından kritik olmayan loglama</w:t>
      </w:r>
      <w:r>
        <w:t xml:space="preserve"> </w:t>
      </w:r>
      <w:r>
        <w:t xml:space="preserve">için kullanın. Her zaman yapılandırılan gizli anahtar ile</w:t>
      </w:r>
      <w:r>
        <w:t xml:space="preserve"> </w:t>
      </w:r>
      <w:r>
        <w:rPr>
          <w:rStyle w:val="VerbatimChar"/>
        </w:rPr>
        <w:t xml:space="preserve">jwt.verify</w:t>
      </w:r>
      <w:r>
        <w:t xml:space="preserve"> </w:t>
      </w:r>
      <w:r>
        <w:t xml:space="preserve">kullanarak JWT’leri doğrulayın. İmza uyuşmazlığı olan tokenleri sessizce kabul etmek yerine geçersiz sayın.</w:t>
      </w:r>
    </w:p>
    <w:bookmarkEnd w:id="32"/>
    <w:bookmarkEnd w:id="33"/>
    <w:bookmarkStart w:id="37" w:name="nonce-uç-noktasının-kötüye-kullanımı"/>
    <w:p>
      <w:pPr>
        <w:pStyle w:val="Heading2"/>
      </w:pPr>
      <w:r>
        <w:t xml:space="preserve">3 Nonce Uç Noktasının Kötüye Kullanımı</w:t>
      </w:r>
    </w:p>
    <w:bookmarkStart w:id="34" w:name="risk-2"/>
    <w:p>
      <w:pPr>
        <w:pStyle w:val="Heading3"/>
      </w:pPr>
      <w:r>
        <w:t xml:space="preserve">Risk</w:t>
      </w:r>
    </w:p>
    <w:p>
      <w:pPr>
        <w:pStyle w:val="FirstParagraph"/>
      </w:pPr>
      <w:r>
        <w:rPr>
          <w:rStyle w:val="VerbatimChar"/>
        </w:rPr>
        <w:t xml:space="preserve">GET /api/auth/nonce/:walletAddress</w:t>
      </w:r>
      <w:r>
        <w:t xml:space="preserve"> </w:t>
      </w:r>
      <w:r>
        <w:t xml:space="preserve">uç noktası, verilen herhangi bir cüzdan adresi için yeni bir SIWE nonce döndürür. Adres sahipliğini doğrulayacak bir mekanizma olmadığından (kontrol kanıtı), bir saldırgan bu uç noktayı aşırı istekle doldurarak logları kirletebilir veya masum cüzdanlar için nonce’ları tüketebilir ve giriş akışında karışıklığa neden olabilir.</w:t>
      </w:r>
    </w:p>
    <w:bookmarkEnd w:id="34"/>
    <w:bookmarkStart w:id="35" w:name="kanıtlar-2"/>
    <w:p>
      <w:pPr>
        <w:pStyle w:val="Heading3"/>
      </w:pPr>
      <w:r>
        <w:t xml:space="preserve">Kanıtlar</w:t>
      </w:r>
    </w:p>
    <w:p>
      <w:pPr>
        <w:pStyle w:val="FirstParagraph"/>
      </w:pPr>
      <w:r>
        <w:t xml:space="preserve">Uç nokta herhangi bir</w:t>
      </w:r>
      <w:r>
        <w:t xml:space="preserve"> </w:t>
      </w:r>
      <w:r>
        <w:rPr>
          <w:rStyle w:val="VerbatimChar"/>
        </w:rPr>
        <w:t xml:space="preserve">walletAddress</w:t>
      </w:r>
      <w:r>
        <w:t xml:space="preserve"> </w:t>
      </w:r>
      <w:r>
        <w:t xml:space="preserve">parametresini kabul eder ve nonce döndürür; genel oran sınırlaması dışında imza veya özel bir rate limit uygulanmaz. Kod, cüzdanın var olup olmadığını ya da isteği yapan kişinin ona sahip olup olmadığını kontrol etmez.</w:t>
      </w:r>
    </w:p>
    <w:bookmarkEnd w:id="35"/>
    <w:bookmarkStart w:id="36" w:name="öneri-2"/>
    <w:p>
      <w:pPr>
        <w:pStyle w:val="Heading3"/>
      </w:pPr>
      <w:r>
        <w:t xml:space="preserve">Öneri</w:t>
      </w:r>
    </w:p>
    <w:p>
      <w:pPr>
        <w:pStyle w:val="FirstParagraph"/>
      </w:pPr>
      <w:r>
        <w:t xml:space="preserve">Sahiplik kanıtı (örneğin küçük bir imzalı mesaj) veya nonce dağıtımı için daha sıkı oran sınırlamaları ekleyin. Nonce’u IP ve cüzdan ile ilişkilendirerek kısa süre içinde geçersiz kılın ve anormallikleri kaydedin.</w:t>
      </w:r>
    </w:p>
    <w:bookmarkEnd w:id="36"/>
    <w:bookmarkEnd w:id="37"/>
    <w:bookmarkStart w:id="42" w:name="sayfalamadan-büyük-veri-sorguları"/>
    <w:p>
      <w:pPr>
        <w:pStyle w:val="Heading2"/>
      </w:pPr>
      <w:r>
        <w:t xml:space="preserve">4 Sayfalamadan Büyük Veri Sorguları</w:t>
      </w:r>
    </w:p>
    <w:bookmarkStart w:id="38" w:name="risk-3"/>
    <w:p>
      <w:pPr>
        <w:pStyle w:val="Heading3"/>
      </w:pPr>
      <w:r>
        <w:t xml:space="preserve">Risk</w:t>
      </w:r>
    </w:p>
    <w:p>
      <w:pPr>
        <w:pStyle w:val="FirstParagraph"/>
      </w:pPr>
      <w:r>
        <w:t xml:space="preserve">Kullanıcıya özel veri döndüren uç noktalar (örneğin</w:t>
      </w:r>
      <w:r>
        <w:t xml:space="preserve"> </w:t>
      </w:r>
      <w:r>
        <w:rPr>
          <w:rStyle w:val="VerbatimChar"/>
        </w:rPr>
        <w:t xml:space="preserve">/api/orders/my</w:t>
      </w:r>
      <w:r>
        <w:t xml:space="preserve">,</w:t>
      </w:r>
      <w:r>
        <w:t xml:space="preserve"> </w:t>
      </w:r>
      <w:r>
        <w:rPr>
          <w:rStyle w:val="VerbatimChar"/>
        </w:rPr>
        <w:t xml:space="preserve">/api/trades/my</w:t>
      </w:r>
      <w:r>
        <w:t xml:space="preserve">), ilgili cüzdan için tüm kayıtları sayfalama olmaksızın getirir. Çok sayıda geçmiş siparişi veya işlemi olan bir kullanıcı, büyük yanıtlar ve yüksek bellek kullanımı üreterek sunucuyu yavaşlatabilir veya bellek taşmasına neden olabilir.</w:t>
      </w:r>
    </w:p>
    <w:bookmarkEnd w:id="38"/>
    <w:bookmarkStart w:id="40" w:name="kanıtlar-3"/>
    <w:p>
      <w:pPr>
        <w:pStyle w:val="Heading3"/>
      </w:pPr>
      <w:r>
        <w:t xml:space="preserve">Kanıtlar</w:t>
      </w:r>
    </w:p>
    <w:p>
      <w:pPr>
        <w:pStyle w:val="FirstParagraph"/>
      </w:pPr>
      <w:r>
        <w:rPr>
          <w:b/>
          <w:bCs/>
        </w:rPr>
        <w:t xml:space="preserve">orders route</w:t>
      </w:r>
      <w:r>
        <w:t xml:space="preserve">’da,</w:t>
      </w:r>
      <w:r>
        <w:t xml:space="preserve"> </w:t>
      </w:r>
      <w:r>
        <w:rPr>
          <w:rStyle w:val="VerbatimChar"/>
        </w:rPr>
        <w:t xml:space="preserve">GET /api/orders/my</w:t>
      </w:r>
      <w:r>
        <w:t xml:space="preserve"> </w:t>
      </w:r>
      <w:r>
        <w:rPr>
          <w:rStyle w:val="VerbatimChar"/>
        </w:rPr>
        <w:t xml:space="preserve">Order.find({ owner_address: wallet })</w:t>
      </w:r>
      <w:r>
        <w:t xml:space="preserve"> </w:t>
      </w:r>
      <w:r>
        <w:t xml:space="preserve">kullanır ve sayfalama veya limit uygulamaz</w:t>
      </w:r>
      <w:hyperlink r:id="rId39">
        <w:r>
          <w:rPr>
            <w:rStyle w:val="Hyperlink"/>
          </w:rPr>
          <w:t xml:space="preserve">[6]</w:t>
        </w:r>
      </w:hyperlink>
      <w:r>
        <w:t xml:space="preserve">. Benzer şekilde,</w:t>
      </w:r>
      <w:r>
        <w:t xml:space="preserve"> </w:t>
      </w:r>
      <w:r>
        <w:rPr>
          <w:b/>
          <w:bCs/>
        </w:rPr>
        <w:t xml:space="preserve">trades route</w:t>
      </w:r>
      <w:r>
        <w:t xml:space="preserve">’da</w:t>
      </w:r>
      <w:r>
        <w:t xml:space="preserve"> </w:t>
      </w:r>
      <w:r>
        <w:rPr>
          <w:rStyle w:val="VerbatimChar"/>
        </w:rPr>
        <w:t xml:space="preserve">GET /api/trades/my</w:t>
      </w:r>
      <w:r>
        <w:t xml:space="preserve"> </w:t>
      </w:r>
      <w:r>
        <w:t xml:space="preserve">tüm aktif işlemleri bir diziye toplar.</w:t>
      </w:r>
    </w:p>
    <w:bookmarkEnd w:id="40"/>
    <w:bookmarkStart w:id="41" w:name="öneri-3"/>
    <w:p>
      <w:pPr>
        <w:pStyle w:val="Heading3"/>
      </w:pPr>
      <w:r>
        <w:t xml:space="preserve">Öneri</w:t>
      </w:r>
    </w:p>
    <w:p>
      <w:pPr>
        <w:pStyle w:val="FirstParagraph"/>
      </w:pPr>
      <w:r>
        <w:t xml:space="preserve">Bu uç noktalara sayfalama (limit ve offset) ekleyin. Her istekte döndürülebilecek maksimum belge sayısını zorunlu kılın ve aralık sorgularını desteklemek için uygun indeksler kullanın. Ön yüz tarafında, kademeli yükleme veya sonsuz kaydırma uygulayın.</w:t>
      </w:r>
    </w:p>
    <w:bookmarkEnd w:id="41"/>
    <w:bookmarkEnd w:id="42"/>
    <w:bookmarkStart w:id="46" w:name="Xdfbb4b80df3955c5132ba4947654bd1bb138538"/>
    <w:p>
      <w:pPr>
        <w:pStyle w:val="Heading2"/>
      </w:pPr>
      <w:r>
        <w:t xml:space="preserve">5 Event Listener ve Dead Letter Queue Performansı</w:t>
      </w:r>
    </w:p>
    <w:bookmarkStart w:id="43" w:name="risk-4"/>
    <w:p>
      <w:pPr>
        <w:pStyle w:val="Heading3"/>
      </w:pPr>
      <w:r>
        <w:t xml:space="preserve">Risk</w:t>
      </w:r>
    </w:p>
    <w:p>
      <w:pPr>
        <w:pStyle w:val="FirstParagraph"/>
      </w:pPr>
      <w:r>
        <w:rPr>
          <w:rStyle w:val="VerbatimChar"/>
        </w:rPr>
        <w:t xml:space="preserve">eventListener.js</w:t>
      </w:r>
      <w:r>
        <w:t xml:space="preserve"> </w:t>
      </w:r>
      <w:r>
        <w:t xml:space="preserve">servisi zincir üzerindeki olayları MongoDB’ye aynalar ve başarısız olayları yeniden denemek için bir dead letter queue (DLQ) kullanır. İşlevsel olsa da,</w:t>
      </w:r>
      <w:r>
        <w:t xml:space="preserve"> </w:t>
      </w:r>
      <w:r>
        <w:rPr>
          <w:rStyle w:val="VerbatimChar"/>
        </w:rPr>
        <w:t xml:space="preserve">BLOCK_BATCH_SIZE</w:t>
      </w:r>
      <w:r>
        <w:t xml:space="preserve"> </w:t>
      </w:r>
      <w:r>
        <w:t xml:space="preserve">ve</w:t>
      </w:r>
      <w:r>
        <w:t xml:space="preserve"> </w:t>
      </w:r>
      <w:r>
        <w:rPr>
          <w:rStyle w:val="VerbatimChar"/>
        </w:rPr>
        <w:t xml:space="preserve">CHECKPOINT_INTERVAL_BLOCKS</w:t>
      </w:r>
      <w:r>
        <w:t xml:space="preserve"> </w:t>
      </w:r>
      <w:r>
        <w:t xml:space="preserve">sabit değerler olarak ayarlanmıştır ve</w:t>
      </w:r>
      <w:r>
        <w:t xml:space="preserve"> </w:t>
      </w:r>
      <w:r>
        <w:rPr>
          <w:rStyle w:val="VerbatimChar"/>
        </w:rPr>
        <w:t xml:space="preserve">Number()</w:t>
      </w:r>
      <w:r>
        <w:t xml:space="preserve"> </w:t>
      </w:r>
      <w:r>
        <w:t xml:space="preserve">dönüşümleri kullanılır. Sözleşme yüksek hacimli olaylar yayımlarsa veya kimlikler güvenli tamsayı aralığını aşarsa, dinleyici olayları atlayabilir veya yanlış sıraya koyabilir.</w:t>
      </w:r>
    </w:p>
    <w:bookmarkEnd w:id="43"/>
    <w:bookmarkStart w:id="44" w:name="kanıtlar-4"/>
    <w:p>
      <w:pPr>
        <w:pStyle w:val="Heading3"/>
      </w:pPr>
      <w:r>
        <w:t xml:space="preserve">Kanıtlar</w:t>
      </w:r>
    </w:p>
    <w:p>
      <w:pPr>
        <w:pStyle w:val="Compact"/>
        <w:numPr>
          <w:ilvl w:val="0"/>
          <w:numId w:val="1003"/>
        </w:numPr>
      </w:pPr>
      <w:r>
        <w:rPr>
          <w:rStyle w:val="VerbatimChar"/>
        </w:rPr>
        <w:t xml:space="preserve">_toNum</w:t>
      </w:r>
      <w:r>
        <w:t xml:space="preserve">, olay değerlerini dönüştürmek için kullanılır ve yalnızca sayısal önbellekler için güvenli dönüştürme olduğunu kabul eder</w:t>
      </w:r>
      <w:hyperlink r:id="rId25">
        <w:r>
          <w:rPr>
            <w:rStyle w:val="Hyperlink"/>
          </w:rPr>
          <w:t xml:space="preserve">[4]</w:t>
        </w:r>
      </w:hyperlink>
      <w:r>
        <w:t xml:space="preserve">.</w:t>
      </w:r>
    </w:p>
    <w:p>
      <w:pPr>
        <w:pStyle w:val="Compact"/>
        <w:numPr>
          <w:ilvl w:val="0"/>
          <w:numId w:val="1003"/>
        </w:numPr>
      </w:pPr>
      <w:r>
        <w:t xml:space="preserve">DLQ işlemesi, diğer görevleri engelleyebilecek</w:t>
      </w:r>
      <w:r>
        <w:t xml:space="preserve"> </w:t>
      </w:r>
      <w:r>
        <w:rPr>
          <w:rStyle w:val="VerbatimChar"/>
        </w:rPr>
        <w:t xml:space="preserve">await</w:t>
      </w:r>
      <w:r>
        <w:t xml:space="preserve"> </w:t>
      </w:r>
      <w:r>
        <w:t xml:space="preserve">döngüleri kullanır. Geri basınç veya dinamik yığın boyutlandırma yoktur.</w:t>
      </w:r>
    </w:p>
    <w:bookmarkEnd w:id="44"/>
    <w:bookmarkStart w:id="45" w:name="öneri-4"/>
    <w:p>
      <w:pPr>
        <w:pStyle w:val="Heading3"/>
      </w:pPr>
      <w:r>
        <w:t xml:space="preserve">Öneri</w:t>
      </w:r>
    </w:p>
    <w:p>
      <w:pPr>
        <w:pStyle w:val="FirstParagraph"/>
      </w:pPr>
      <w:r>
        <w:t xml:space="preserve">Kimlikler için</w:t>
      </w:r>
      <w:r>
        <w:t xml:space="preserve"> </w:t>
      </w:r>
      <w:r>
        <w:rPr>
          <w:rStyle w:val="VerbatimChar"/>
        </w:rPr>
        <w:t xml:space="preserve">BigInt</w:t>
      </w:r>
      <w:r>
        <w:t xml:space="preserve"> </w:t>
      </w:r>
      <w:r>
        <w:t xml:space="preserve">kullanarak veri akışına geçin. Yığın boyutlarını yapılandırılabilir veya olay birikimine göre dinamik yapın. CPU yükünü azaltmak için işçi eşzamanlılığı ve boşta kalma algılama kullanın. DLQ boyut artışı için izleme ekleyin.</w:t>
      </w:r>
    </w:p>
    <w:bookmarkEnd w:id="45"/>
    <w:bookmarkEnd w:id="46"/>
    <w:bookmarkStart w:id="50" w:name="X685396d93d372b3efa90458912f0275a47c433d"/>
    <w:p>
      <w:pPr>
        <w:pStyle w:val="Heading2"/>
      </w:pPr>
      <w:r>
        <w:t xml:space="preserve">6 Makbuz Yükleme ve Sihirli Bayt Doğrulaması</w:t>
      </w:r>
    </w:p>
    <w:bookmarkStart w:id="47" w:name="risk-5"/>
    <w:p>
      <w:pPr>
        <w:pStyle w:val="Heading3"/>
      </w:pPr>
      <w:r>
        <w:t xml:space="preserve">Risk</w:t>
      </w:r>
    </w:p>
    <w:p>
      <w:pPr>
        <w:pStyle w:val="FirstParagraph"/>
      </w:pPr>
      <w:r>
        <w:rPr>
          <w:rStyle w:val="VerbatimChar"/>
        </w:rPr>
        <w:t xml:space="preserve">POST /api/receipts</w:t>
      </w:r>
      <w:r>
        <w:t xml:space="preserve"> </w:t>
      </w:r>
      <w:r>
        <w:t xml:space="preserve">uç noktası, şifreli makbuz dosyasını kabul eder ve MIME türü ile sihirli bayt üzerinde temel doğrulama yapar. Ancak, yalnızca dosyanın ilk dört baytını kontrol eder ve JPEG/PNG ile sınırlar. Saldırganlar, resim kılığına sokulmuş kötü amaçlı dosyalar yükleyebilir veya dosya boyut sınırını aşabilir. Ayrıca,</w:t>
      </w:r>
      <w:r>
        <w:t xml:space="preserve"> </w:t>
      </w:r>
      <w:r>
        <w:rPr>
          <w:rStyle w:val="VerbatimChar"/>
        </w:rPr>
        <w:t xml:space="preserve">onchainEscrowId</w:t>
      </w:r>
      <w:r>
        <w:t xml:space="preserve"> </w:t>
      </w:r>
      <w:r>
        <w:t xml:space="preserve">için</w:t>
      </w:r>
      <w:r>
        <w:t xml:space="preserve"> </w:t>
      </w:r>
      <w:r>
        <w:rPr>
          <w:rStyle w:val="VerbatimChar"/>
        </w:rPr>
        <w:t xml:space="preserve">Number(rawId)</w:t>
      </w:r>
      <w:r>
        <w:t xml:space="preserve"> </w:t>
      </w:r>
      <w:r>
        <w:t xml:space="preserve">kullanılması (daha önce belirtilen risk) hala mevcuttur.</w:t>
      </w:r>
    </w:p>
    <w:bookmarkEnd w:id="47"/>
    <w:bookmarkStart w:id="48" w:name="kanıtlar-5"/>
    <w:p>
      <w:pPr>
        <w:pStyle w:val="Heading3"/>
      </w:pPr>
      <w:r>
        <w:t xml:space="preserve">Kanıtlar</w:t>
      </w:r>
    </w:p>
    <w:p>
      <w:pPr>
        <w:pStyle w:val="Compact"/>
        <w:numPr>
          <w:ilvl w:val="0"/>
          <w:numId w:val="1004"/>
        </w:numPr>
      </w:pPr>
      <w:r>
        <w:t xml:space="preserve">Uç nokta ilk 4 baytı okur ve JPEG/PNG sihirli sayılarını kontrol eder; WebP veya GIF gibi diğer biçimler kabul edilmez; eşleşmeme durumunda</w:t>
      </w:r>
      <w:r>
        <w:t xml:space="preserve"> </w:t>
      </w:r>
      <w:r>
        <w:rPr>
          <w:rStyle w:val="VerbatimChar"/>
        </w:rPr>
        <w:t xml:space="preserve">400</w:t>
      </w:r>
      <w:r>
        <w:t xml:space="preserve"> </w:t>
      </w:r>
      <w:r>
        <w:t xml:space="preserve">hatası döner</w:t>
      </w:r>
      <w:hyperlink r:id="rId24">
        <w:r>
          <w:rPr>
            <w:rStyle w:val="Hyperlink"/>
          </w:rPr>
          <w:t xml:space="preserve">[3]</w:t>
        </w:r>
      </w:hyperlink>
      <w:r>
        <w:t xml:space="preserve">. Ancak daha ileri bir doğrulama bulunmaz.</w:t>
      </w:r>
    </w:p>
    <w:p>
      <w:pPr>
        <w:pStyle w:val="Compact"/>
        <w:numPr>
          <w:ilvl w:val="0"/>
          <w:numId w:val="1004"/>
        </w:numPr>
      </w:pPr>
      <w:r>
        <w:t xml:space="preserve">Dosya boyutu</w:t>
      </w:r>
      <w:r>
        <w:t xml:space="preserve"> </w:t>
      </w:r>
      <w:r>
        <w:rPr>
          <w:rStyle w:val="VerbatimChar"/>
        </w:rPr>
        <w:t xml:space="preserve">multer</w:t>
      </w:r>
      <w:r>
        <w:t xml:space="preserve"> </w:t>
      </w:r>
      <w:r>
        <w:t xml:space="preserve">üzerinden 5 MB ile sınırlandırılmıştır, ancak virüs/kötü amaçlı yazılım taraması yapılmaz.</w:t>
      </w:r>
    </w:p>
    <w:bookmarkEnd w:id="48"/>
    <w:bookmarkStart w:id="49" w:name="öneri-5"/>
    <w:p>
      <w:pPr>
        <w:pStyle w:val="Heading3"/>
      </w:pPr>
      <w:r>
        <w:t xml:space="preserve">Öneri</w:t>
      </w:r>
    </w:p>
    <w:p>
      <w:pPr>
        <w:pStyle w:val="FirstParagraph"/>
      </w:pPr>
      <w:r>
        <w:t xml:space="preserve">Dosya depolamayı özel bir nesne depolama hizmetine (örneğin S3 veya IPFS) taşıyın ve dosyaları kötü amaçlı yazılımlar için tarayın. Desteklenen tüm görüntü türlerini kabul edin veya kabul edilen biçimleri açıkça belgede belirtin.</w:t>
      </w:r>
      <w:r>
        <w:t xml:space="preserve"> </w:t>
      </w:r>
      <w:r>
        <w:rPr>
          <w:rStyle w:val="VerbatimChar"/>
        </w:rPr>
        <w:t xml:space="preserve">Number()</w:t>
      </w:r>
      <w:r>
        <w:t xml:space="preserve"> </w:t>
      </w:r>
      <w:r>
        <w:t xml:space="preserve">dönüşümlerini kaldırın.</w:t>
      </w:r>
    </w:p>
    <w:bookmarkEnd w:id="49"/>
    <w:bookmarkEnd w:id="50"/>
    <w:bookmarkStart w:id="57" w:name="sınırsız-cron-işleri"/>
    <w:p>
      <w:pPr>
        <w:pStyle w:val="Heading2"/>
      </w:pPr>
      <w:r>
        <w:t xml:space="preserve">7 Sınırsız Cron İşleri</w:t>
      </w:r>
    </w:p>
    <w:p>
      <w:pPr>
        <w:pStyle w:val="FirstParagraph"/>
      </w:pPr>
      <w:r>
        <w:t xml:space="preserve">Bazı zamanlanmış işler performans artışlarına veya sınırsız taramalara neden olabilir:</w:t>
      </w:r>
    </w:p>
    <w:bookmarkStart w:id="52" w:name="kullanıcı-banka-riski-metadata-temizliği"/>
    <w:p>
      <w:pPr>
        <w:pStyle w:val="Heading3"/>
      </w:pPr>
      <w:r>
        <w:rPr>
          <w:b/>
          <w:bCs/>
        </w:rPr>
        <w:t xml:space="preserve">Kullanıcı banka riski metadata temizliği</w:t>
      </w:r>
    </w:p>
    <w:p>
      <w:pPr>
        <w:pStyle w:val="FirstParagraph"/>
      </w:pPr>
      <w:r>
        <w:t xml:space="preserve">Her altı saatte bir tüm kullanıcıları tarayarak banka değişim sayaçlarını yeniden hesaplar ve 30 günlükten eski girdileri temizler</w:t>
      </w:r>
      <w:hyperlink r:id="rId51">
        <w:r>
          <w:rPr>
            <w:rStyle w:val="Hyperlink"/>
          </w:rPr>
          <w:t xml:space="preserve">[7]</w:t>
        </w:r>
      </w:hyperlink>
      <w:r>
        <w:t xml:space="preserve">. Büyük bir kullanıcı tabanında tarama pahalı olabilir.</w:t>
      </w:r>
    </w:p>
    <w:p>
      <w:pPr>
        <w:pStyle w:val="BodyText"/>
      </w:pPr>
      <w:r>
        <w:rPr>
          <w:b/>
          <w:bCs/>
        </w:rPr>
        <w:t xml:space="preserve">Öneri:</w:t>
      </w:r>
      <w:r>
        <w:t xml:space="preserve"> </w:t>
      </w:r>
      <w:r>
        <w:t xml:space="preserve">Bu işi günlük veya haftalık olarak çalıştırın. Tarama sayısını azaltmak için (örneğin</w:t>
      </w:r>
      <w:r>
        <w:t xml:space="preserve"> </w:t>
      </w:r>
      <w:r>
        <w:rPr>
          <w:rStyle w:val="VerbatimChar"/>
        </w:rPr>
        <w:t xml:space="preserve">bank_profile_risk_changes.length &gt; N</w:t>
      </w:r>
      <w:r>
        <w:t xml:space="preserve"> </w:t>
      </w:r>
      <w:r>
        <w:t xml:space="preserve">olan kullanıcılar) filtreler ekleyin veya sayaçları veriye erişildiğinde tembel olarak hesaplayın.</w:t>
      </w:r>
    </w:p>
    <w:bookmarkEnd w:id="52"/>
    <w:bookmarkStart w:id="53" w:name="istatistik-anlık-görüntü-işi"/>
    <w:p>
      <w:pPr>
        <w:pStyle w:val="Heading3"/>
      </w:pPr>
      <w:r>
        <w:rPr>
          <w:b/>
          <w:bCs/>
        </w:rPr>
        <w:t xml:space="preserve">İstatistik anlık görüntü işi</w:t>
      </w:r>
    </w:p>
    <w:p>
      <w:pPr>
        <w:pStyle w:val="FirstParagraph"/>
      </w:pPr>
      <w:r>
        <w:t xml:space="preserve">Günlük olarak büyük miktarda işlem/sipariş verisini toplayarak protokol istatistikleri hesaplar. Kullanım arttıkça, iş bellek/zaman limitlerini aşabilir.</w:t>
      </w:r>
    </w:p>
    <w:p>
      <w:pPr>
        <w:pStyle w:val="BodyText"/>
      </w:pPr>
      <w:r>
        <w:rPr>
          <w:b/>
          <w:bCs/>
        </w:rPr>
        <w:t xml:space="preserve">Öneri:</w:t>
      </w:r>
      <w:r>
        <w:t xml:space="preserve"> </w:t>
      </w:r>
      <w:r>
        <w:t xml:space="preserve">Metrikleri gerçek zamanlı olarak önceden toplayın (örneğin olay akışıyla) veya işi daha küçük boru hatlarına bölün. Tarihsel istatistikler için zaman serisi veritabanı kullanmayı düşünün.</w:t>
      </w:r>
    </w:p>
    <w:bookmarkEnd w:id="53"/>
    <w:bookmarkStart w:id="56" w:name="makbuz-ve-pii-temizliği"/>
    <w:p>
      <w:pPr>
        <w:pStyle w:val="Heading3"/>
      </w:pPr>
      <w:r>
        <w:rPr>
          <w:b/>
          <w:bCs/>
        </w:rPr>
        <w:t xml:space="preserve">Makbuz ve PII temizliği</w:t>
      </w:r>
    </w:p>
    <w:p>
      <w:pPr>
        <w:pStyle w:val="FirstParagraph"/>
      </w:pPr>
      <w:r>
        <w:rPr>
          <w:rStyle w:val="VerbatimChar"/>
        </w:rPr>
        <w:t xml:space="preserve">receipt_delete_at</w:t>
      </w:r>
      <w:r>
        <w:t xml:space="preserve"> </w:t>
      </w:r>
      <w:r>
        <w:t xml:space="preserve">ve</w:t>
      </w:r>
      <w:r>
        <w:t xml:space="preserve"> </w:t>
      </w:r>
      <w:r>
        <w:rPr>
          <w:rStyle w:val="VerbatimChar"/>
        </w:rPr>
        <w:t xml:space="preserve">snapshot_delete_at</w:t>
      </w:r>
      <w:r>
        <w:t xml:space="preserve"> </w:t>
      </w:r>
      <w:r>
        <w:t xml:space="preserve">alanlarına göre işlemleri tarayarak eski makbuzları ve ödeme bilgisi anlık görüntülerini siler</w:t>
      </w:r>
      <w:hyperlink r:id="rId54">
        <w:r>
          <w:rPr>
            <w:rStyle w:val="Hyperlink"/>
          </w:rPr>
          <w:t xml:space="preserve">[8]</w:t>
        </w:r>
      </w:hyperlink>
      <w:hyperlink r:id="rId55">
        <w:r>
          <w:rPr>
            <w:rStyle w:val="Hyperlink"/>
          </w:rPr>
          <w:t xml:space="preserve">[9]</w:t>
        </w:r>
      </w:hyperlink>
      <w:r>
        <w:t xml:space="preserve">. Bu alanlarda uygun indeksler olmadığında sorgular tüm koleksiyon taramaları olacaktır.</w:t>
      </w:r>
    </w:p>
    <w:p>
      <w:pPr>
        <w:pStyle w:val="BodyText"/>
      </w:pPr>
      <w:r>
        <w:rPr>
          <w:b/>
          <w:bCs/>
        </w:rPr>
        <w:t xml:space="preserve">Öneri:</w:t>
      </w:r>
      <w:r>
        <w:t xml:space="preserve"> </w:t>
      </w:r>
      <w:r>
        <w:rPr>
          <w:rStyle w:val="VerbatimChar"/>
        </w:rPr>
        <w:t xml:space="preserve">receipt_delete_at</w:t>
      </w:r>
      <w:r>
        <w:t xml:space="preserve"> </w:t>
      </w:r>
      <w:r>
        <w:t xml:space="preserve">ve</w:t>
      </w:r>
      <w:r>
        <w:t xml:space="preserve"> </w:t>
      </w:r>
      <w:r>
        <w:rPr>
          <w:rStyle w:val="VerbatimChar"/>
        </w:rPr>
        <w:t xml:space="preserve">payout_snapshot.snapshot_delete_at</w:t>
      </w:r>
      <w:r>
        <w:t xml:space="preserve"> </w:t>
      </w:r>
      <w:r>
        <w:t xml:space="preserve">alanlarına indeks ekleyin. Otomatik silme için TTL indeksleri kullanmayı düşünün.</w:t>
      </w:r>
    </w:p>
    <w:bookmarkEnd w:id="56"/>
    <w:bookmarkEnd w:id="57"/>
    <w:bookmarkStart w:id="58" w:name="akıllı-sözleşmeye-dair-küçük-endişeler"/>
    <w:p>
      <w:pPr>
        <w:pStyle w:val="Heading2"/>
      </w:pPr>
      <w:r>
        <w:t xml:space="preserve">8 Akıllı Sözleşmeye Dair Küçük Endişeler</w:t>
      </w:r>
    </w:p>
    <w:p>
      <w:pPr>
        <w:pStyle w:val="FirstParagraph"/>
      </w:pPr>
      <w:r>
        <w:rPr>
          <w:rStyle w:val="VerbatimChar"/>
        </w:rPr>
        <w:t xml:space="preserve">ArafEscrow.sol</w:t>
      </w:r>
      <w:r>
        <w:t xml:space="preserve"> </w:t>
      </w:r>
      <w:r>
        <w:t xml:space="preserve">Solidity kodu genel olarak sağlam görünse de dikkat edilmesi gereken birkaç nokta vardır:</w:t>
      </w:r>
    </w:p>
    <w:p>
      <w:pPr>
        <w:pStyle w:val="Compact"/>
        <w:numPr>
          <w:ilvl w:val="0"/>
          <w:numId w:val="1005"/>
        </w:numPr>
      </w:pPr>
      <w:r>
        <w:rPr>
          <w:b/>
          <w:bCs/>
        </w:rPr>
        <w:t xml:space="preserve">Sahiplik fonksiyonlarında yeniden giriş</w:t>
      </w:r>
      <w:r>
        <w:t xml:space="preserve"> </w:t>
      </w:r>
      <w:r>
        <w:t xml:space="preserve">– bazı yönetim fonksiyonları (örn.</w:t>
      </w:r>
      <w:r>
        <w:t xml:space="preserve"> </w:t>
      </w:r>
      <w:r>
        <w:rPr>
          <w:rStyle w:val="VerbatimChar"/>
        </w:rPr>
        <w:t xml:space="preserve">setTokenConfig</w:t>
      </w:r>
      <w:r>
        <w:t xml:space="preserve">)</w:t>
      </w:r>
      <w:r>
        <w:t xml:space="preserve"> </w:t>
      </w:r>
      <w:r>
        <w:rPr>
          <w:rStyle w:val="VerbatimChar"/>
        </w:rPr>
        <w:t xml:space="preserve">nonReentrant</w:t>
      </w:r>
      <w:r>
        <w:t xml:space="preserve"> </w:t>
      </w:r>
      <w:r>
        <w:t xml:space="preserve">olarak işaretlenmemiştir. ERC20 transferleriyle etkileşimde bulunmasalar da, koruyucu amaçlı</w:t>
      </w:r>
      <w:r>
        <w:t xml:space="preserve"> </w:t>
      </w:r>
      <w:r>
        <w:rPr>
          <w:rStyle w:val="VerbatimChar"/>
        </w:rPr>
        <w:t xml:space="preserve">nonReentrant</w:t>
      </w:r>
      <w:r>
        <w:t xml:space="preserve"> </w:t>
      </w:r>
      <w:r>
        <w:t xml:space="preserve">eklemek iyi bir uygulamadır.</w:t>
      </w:r>
    </w:p>
    <w:p>
      <w:pPr>
        <w:pStyle w:val="Compact"/>
        <w:numPr>
          <w:ilvl w:val="0"/>
          <w:numId w:val="1005"/>
        </w:numPr>
      </w:pPr>
      <w:r>
        <w:rPr>
          <w:b/>
          <w:bCs/>
        </w:rPr>
        <w:t xml:space="preserve">Sınırsız sayaçlar</w:t>
      </w:r>
      <w:r>
        <w:t xml:space="preserve"> </w:t>
      </w:r>
      <w:r>
        <w:t xml:space="preserve">–</w:t>
      </w:r>
      <w:r>
        <w:t xml:space="preserve"> </w:t>
      </w:r>
      <w:r>
        <w:rPr>
          <w:rStyle w:val="VerbatimChar"/>
        </w:rPr>
        <w:t xml:space="preserve">orderCounter</w:t>
      </w:r>
      <w:r>
        <w:t xml:space="preserve"> </w:t>
      </w:r>
      <w:r>
        <w:t xml:space="preserve">ve</w:t>
      </w:r>
      <w:r>
        <w:t xml:space="preserve"> </w:t>
      </w:r>
      <w:r>
        <w:rPr>
          <w:rStyle w:val="VerbatimChar"/>
        </w:rPr>
        <w:t xml:space="preserve">tradeCounter</w:t>
      </w:r>
      <w:r>
        <w:t xml:space="preserve"> </w:t>
      </w:r>
      <w:r>
        <w:t xml:space="preserve">sonsuza kadar büyür. Solidity’de taşma olası değildir (2^256 ile mod alır), ancak arka uçta</w:t>
      </w:r>
      <w:r>
        <w:t xml:space="preserve"> </w:t>
      </w:r>
      <w:r>
        <w:rPr>
          <w:rStyle w:val="VerbatimChar"/>
        </w:rPr>
        <w:t xml:space="preserve">Number()</w:t>
      </w:r>
      <w:r>
        <w:t xml:space="preserve"> </w:t>
      </w:r>
      <w:r>
        <w:t xml:space="preserve">kullanımı sorunludur. Sayaçları sıfırlamayı veya</w:t>
      </w:r>
      <w:r>
        <w:t xml:space="preserve"> </w:t>
      </w:r>
      <w:r>
        <w:rPr>
          <w:rStyle w:val="VerbatimChar"/>
        </w:rPr>
        <w:t xml:space="preserve">uint64</w:t>
      </w:r>
      <w:r>
        <w:t xml:space="preserve"> </w:t>
      </w:r>
      <w:r>
        <w:t xml:space="preserve">gibi sınırlı tipler kullanmayı düşünün.</w:t>
      </w:r>
    </w:p>
    <w:p>
      <w:pPr>
        <w:pStyle w:val="Compact"/>
        <w:numPr>
          <w:ilvl w:val="0"/>
          <w:numId w:val="1005"/>
        </w:numPr>
      </w:pPr>
      <w:r>
        <w:rPr>
          <w:b/>
          <w:bCs/>
        </w:rPr>
        <w:t xml:space="preserve">Gaz maliyetleri</w:t>
      </w:r>
      <w:r>
        <w:t xml:space="preserve"> </w:t>
      </w:r>
      <w:r>
        <w:t xml:space="preserve">–</w:t>
      </w:r>
      <w:r>
        <w:t xml:space="preserve"> </w:t>
      </w:r>
      <w:r>
        <w:rPr>
          <w:rStyle w:val="VerbatimChar"/>
        </w:rPr>
        <w:t xml:space="preserve">burnExpired</w:t>
      </w:r>
      <w:r>
        <w:t xml:space="preserve"> </w:t>
      </w:r>
      <w:r>
        <w:t xml:space="preserve">gibi fonksiyonlar alt işlemleri üzerinden döngü yapar. Çok sayıda işlem olması durumunda gaz tüketimi blok limitini aşabilir. Yığın boyutunu sınırlamayı veya zincir dışı beyaz listelemeyi öneririz.</w:t>
      </w:r>
    </w:p>
    <w:bookmarkEnd w:id="58"/>
    <w:bookmarkStart w:id="59" w:name="sonuç"/>
    <w:p>
      <w:pPr>
        <w:pStyle w:val="Heading2"/>
      </w:pPr>
      <w:r>
        <w:t xml:space="preserve">Sonuç</w:t>
      </w:r>
    </w:p>
    <w:p>
      <w:pPr>
        <w:pStyle w:val="FirstParagraph"/>
      </w:pPr>
      <w:r>
        <w:t xml:space="preserve">Araf‑Protokol kod tabanı güçlü mühendislik uygulamaları sergiliyor, ancak bazı sorunlar işlevsel sorunlara veya güvenlik açıklarına yol açabilir. En kritikler, zincir üzerindeki kimlikler için JavaScript’in</w:t>
      </w:r>
      <w:r>
        <w:t xml:space="preserve"> </w:t>
      </w:r>
      <w:r>
        <w:rPr>
          <w:rStyle w:val="VerbatimChar"/>
        </w:rPr>
        <w:t xml:space="preserve">Number</w:t>
      </w:r>
      <w:r>
        <w:t xml:space="preserve"> </w:t>
      </w:r>
      <w:r>
        <w:t xml:space="preserve">tipinin yanlış kullanımı, doğrulanmamış JWT çözme ve sayfalama eksikliği olan uç noktalardır. Bu sorunları giderip işleri optimize etmek, protokolü yüksek hacimli üretim kullanımına hazırlayacaktır. Büyük kimlik değerleriyle testler yapmak ve güvenlik denetimleri gerçekleştirmek güçlü şekilde önerilir.</w:t>
      </w:r>
    </w:p>
    <w:bookmarkEnd w:id="59"/>
    <w:bookmarkEnd w:id="60"/>
    <w:bookmarkEnd w:id="61"/>
    <w:p>
      <w:r>
        <w:pict>
          <v:rect style="width:0;height:1.5pt" o:hralign="center" o:hrstd="t" o:hr="t"/>
        </w:pict>
      </w:r>
    </w:p>
    <w:bookmarkStart w:id="70" w:name="citations"/>
    <w:p>
      <w:pPr>
        <w:pStyle w:val="FirstParagraph"/>
      </w:pPr>
      <w:hyperlink r:id="rId22">
        <w:r>
          <w:rPr>
            <w:rStyle w:val="Hyperlink"/>
          </w:rPr>
          <w:t xml:space="preserve">[1]</w:t>
        </w:r>
      </w:hyperlink>
      <w:r>
        <w:t xml:space="preserve"> </w:t>
      </w:r>
      <w:r>
        <w:t xml:space="preserve">trades.js</w:t>
      </w:r>
    </w:p>
    <w:p>
      <w:pPr>
        <w:pStyle w:val="BodyText"/>
      </w:pPr>
      <w:hyperlink r:id="rId62">
        <w:r>
          <w:rPr>
            <w:rStyle w:val="Hyperlink"/>
          </w:rPr>
          <w:t xml:space="preserve">https://github.com/MyDemir/Araf-Protokol/blob/main/backend/scripts/routes/trades.js</w:t>
        </w:r>
      </w:hyperlink>
    </w:p>
    <w:p>
      <w:pPr>
        <w:pStyle w:val="BodyText"/>
      </w:pPr>
      <w:hyperlink r:id="rId23">
        <w:r>
          <w:rPr>
            <w:rStyle w:val="Hyperlink"/>
          </w:rPr>
          <w:t xml:space="preserve">[2]</w:t>
        </w:r>
      </w:hyperlink>
      <w:r>
        <w:t xml:space="preserve"> </w:t>
      </w:r>
      <w:r>
        <w:t xml:space="preserve">orders.js</w:t>
      </w:r>
    </w:p>
    <w:p>
      <w:pPr>
        <w:pStyle w:val="BodyText"/>
      </w:pPr>
      <w:hyperlink r:id="rId63">
        <w:r>
          <w:rPr>
            <w:rStyle w:val="Hyperlink"/>
          </w:rPr>
          <w:t xml:space="preserve">https://github.com/MyDemir/Araf-Protokol/blob/main/backend/scripts/routes/orders.js</w:t>
        </w:r>
      </w:hyperlink>
    </w:p>
    <w:p>
      <w:pPr>
        <w:pStyle w:val="BodyText"/>
      </w:pPr>
      <w:hyperlink r:id="rId24">
        <w:r>
          <w:rPr>
            <w:rStyle w:val="Hyperlink"/>
          </w:rPr>
          <w:t xml:space="preserve">[3]</w:t>
        </w:r>
      </w:hyperlink>
      <w:r>
        <w:t xml:space="preserve"> </w:t>
      </w:r>
      <w:r>
        <w:t xml:space="preserve">receipts.js</w:t>
      </w:r>
    </w:p>
    <w:p>
      <w:pPr>
        <w:pStyle w:val="BodyText"/>
      </w:pPr>
      <w:hyperlink r:id="rId64">
        <w:r>
          <w:rPr>
            <w:rStyle w:val="Hyperlink"/>
          </w:rPr>
          <w:t xml:space="preserve">https://github.com/MyDemir/Araf-Protokol/blob/main/backend/scripts/routes/receipts.js</w:t>
        </w:r>
      </w:hyperlink>
    </w:p>
    <w:p>
      <w:pPr>
        <w:pStyle w:val="BodyText"/>
      </w:pPr>
      <w:hyperlink r:id="rId25">
        <w:r>
          <w:rPr>
            <w:rStyle w:val="Hyperlink"/>
          </w:rPr>
          <w:t xml:space="preserve">[4]</w:t>
        </w:r>
      </w:hyperlink>
      <w:r>
        <w:t xml:space="preserve"> </w:t>
      </w:r>
      <w:r>
        <w:t xml:space="preserve">eventListener.js</w:t>
      </w:r>
    </w:p>
    <w:p>
      <w:pPr>
        <w:pStyle w:val="BodyText"/>
      </w:pPr>
      <w:hyperlink r:id="rId65">
        <w:r>
          <w:rPr>
            <w:rStyle w:val="Hyperlink"/>
          </w:rPr>
          <w:t xml:space="preserve">https://github.com/MyDemir/Araf-Protokol/blob/4149f6e34acd7e66f65334fa0bf56becf97984c1/backend/scripts/services/eventListener.js</w:t>
        </w:r>
      </w:hyperlink>
    </w:p>
    <w:p>
      <w:pPr>
        <w:pStyle w:val="BodyText"/>
      </w:pPr>
      <w:hyperlink r:id="rId30">
        <w:r>
          <w:rPr>
            <w:rStyle w:val="Hyperlink"/>
          </w:rPr>
          <w:t xml:space="preserve">[5]</w:t>
        </w:r>
      </w:hyperlink>
      <w:r>
        <w:t xml:space="preserve"> </w:t>
      </w:r>
      <w:r>
        <w:t xml:space="preserve">auth.js</w:t>
      </w:r>
    </w:p>
    <w:p>
      <w:pPr>
        <w:pStyle w:val="BodyText"/>
      </w:pPr>
      <w:hyperlink r:id="rId66">
        <w:r>
          <w:rPr>
            <w:rStyle w:val="Hyperlink"/>
          </w:rPr>
          <w:t xml:space="preserve">https://github.com/MyDemir/Araf-Protokol/blob/main/backend/scripts/routes/auth.js</w:t>
        </w:r>
      </w:hyperlink>
    </w:p>
    <w:p>
      <w:pPr>
        <w:pStyle w:val="BodyText"/>
      </w:pPr>
      <w:hyperlink r:id="rId39">
        <w:r>
          <w:rPr>
            <w:rStyle w:val="Hyperlink"/>
          </w:rPr>
          <w:t xml:space="preserve">[6]</w:t>
        </w:r>
      </w:hyperlink>
      <w:r>
        <w:t xml:space="preserve"> </w:t>
      </w:r>
      <w:r>
        <w:t xml:space="preserve">orders.js</w:t>
      </w:r>
    </w:p>
    <w:p>
      <w:pPr>
        <w:pStyle w:val="BodyText"/>
      </w:pPr>
      <w:hyperlink r:id="rId67">
        <w:r>
          <w:rPr>
            <w:rStyle w:val="Hyperlink"/>
          </w:rPr>
          <w:t xml:space="preserve">https://github.com/MyDemir/Araf-Protokol/blob/HEAD/backend/scripts/routes/orders.js</w:t>
        </w:r>
      </w:hyperlink>
    </w:p>
    <w:p>
      <w:pPr>
        <w:pStyle w:val="BodyText"/>
      </w:pPr>
      <w:hyperlink r:id="rId51">
        <w:r>
          <w:rPr>
            <w:rStyle w:val="Hyperlink"/>
          </w:rPr>
          <w:t xml:space="preserve">[7]</w:t>
        </w:r>
      </w:hyperlink>
      <w:r>
        <w:t xml:space="preserve"> </w:t>
      </w:r>
      <w:r>
        <w:t xml:space="preserve">cleanupUserBankRiskMetadata.js</w:t>
      </w:r>
    </w:p>
    <w:p>
      <w:pPr>
        <w:pStyle w:val="BodyText"/>
      </w:pPr>
      <w:hyperlink r:id="rId68">
        <w:r>
          <w:rPr>
            <w:rStyle w:val="Hyperlink"/>
          </w:rPr>
          <w:t xml:space="preserve">https://github.com/MyDemir/Araf-Protokol/blob/HEAD/backend/scripts/jobs/cleanupUserBankRiskMetadata.js</w:t>
        </w:r>
      </w:hyperlink>
    </w:p>
    <w:p>
      <w:pPr>
        <w:pStyle w:val="BodyText"/>
      </w:pPr>
      <w:hyperlink r:id="rId54">
        <w:r>
          <w:rPr>
            <w:rStyle w:val="Hyperlink"/>
          </w:rPr>
          <w:t xml:space="preserve">[8]</w:t>
        </w:r>
      </w:hyperlink>
      <w:r>
        <w:t xml:space="preserve"> </w:t>
      </w:r>
      <w:hyperlink r:id="rId55">
        <w:r>
          <w:rPr>
            <w:rStyle w:val="Hyperlink"/>
          </w:rPr>
          <w:t xml:space="preserve">[9]</w:t>
        </w:r>
      </w:hyperlink>
      <w:r>
        <w:t xml:space="preserve"> </w:t>
      </w:r>
      <w:r>
        <w:t xml:space="preserve">cleanupSensitiveData.js</w:t>
      </w:r>
    </w:p>
    <w:p>
      <w:pPr>
        <w:pStyle w:val="BodyText"/>
      </w:pPr>
      <w:hyperlink r:id="rId69">
        <w:r>
          <w:rPr>
            <w:rStyle w:val="Hyperlink"/>
          </w:rPr>
          <w:t xml:space="preserve">https://github.com/MyDemir/Araf-Protokol/blob/HEAD/backend/scripts/jobs/cleanupSensitiveData.js</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github.com/MyDemir/Araf-Protokol/blob/4149f6e34acd7e66f65334fa0bf56becf97984c1/backend/scripts/services/eventListener.js" TargetMode="External" /><Relationship Type="http://schemas.openxmlformats.org/officeDocument/2006/relationships/hyperlink" Id="rId25" Target="https://github.com/MyDemir/Araf-Protokol/blob/4149f6e34acd7e66f65334fa0bf56becf97984c1/backend/scripts/services/eventListener.js#L110-L123" TargetMode="External" /><Relationship Type="http://schemas.openxmlformats.org/officeDocument/2006/relationships/hyperlink" Id="rId69" Target="https://github.com/MyDemir/Araf-Protokol/blob/HEAD/backend/scripts/jobs/cleanupSensitiveData.js" TargetMode="External" /><Relationship Type="http://schemas.openxmlformats.org/officeDocument/2006/relationships/hyperlink" Id="rId54" Target="https://github.com/MyDemir/Araf-Protokol/blob/HEAD/backend/scripts/jobs/cleanupSensitiveData.js#L18-L33" TargetMode="External" /><Relationship Type="http://schemas.openxmlformats.org/officeDocument/2006/relationships/hyperlink" Id="rId55" Target="https://github.com/MyDemir/Araf-Protokol/blob/HEAD/backend/scripts/jobs/cleanupSensitiveData.js#L47-L99" TargetMode="External" /><Relationship Type="http://schemas.openxmlformats.org/officeDocument/2006/relationships/hyperlink" Id="rId68" Target="https://github.com/MyDemir/Araf-Protokol/blob/HEAD/backend/scripts/jobs/cleanupUserBankRiskMetadata.js" TargetMode="External" /><Relationship Type="http://schemas.openxmlformats.org/officeDocument/2006/relationships/hyperlink" Id="rId51" Target="https://github.com/MyDemir/Araf-Protokol/blob/HEAD/backend/scripts/jobs/cleanupUserBankRiskMetadata.js#L49-L105" TargetMode="External" /><Relationship Type="http://schemas.openxmlformats.org/officeDocument/2006/relationships/hyperlink" Id="rId67" Target="https://github.com/MyDemir/Araf-Protokol/blob/HEAD/backend/scripts/routes/orders.js" TargetMode="External" /><Relationship Type="http://schemas.openxmlformats.org/officeDocument/2006/relationships/hyperlink" Id="rId39" Target="https://github.com/MyDemir/Araf-Protokol/blob/HEAD/backend/scripts/routes/orders.js#L104-L112" TargetMode="External" /><Relationship Type="http://schemas.openxmlformats.org/officeDocument/2006/relationships/hyperlink" Id="rId66" Target="https://github.com/MyDemir/Araf-Protokol/blob/main/backend/scripts/routes/auth.js" TargetMode="External" /><Relationship Type="http://schemas.openxmlformats.org/officeDocument/2006/relationships/hyperlink" Id="rId30" Target="https://github.com/MyDemir/Araf-Protokol/blob/main/backend/scripts/routes/auth.js#L206-L219" TargetMode="External" /><Relationship Type="http://schemas.openxmlformats.org/officeDocument/2006/relationships/hyperlink" Id="rId63" Target="https://github.com/MyDemir/Araf-Protokol/blob/main/backend/scripts/routes/orders.js" TargetMode="External" /><Relationship Type="http://schemas.openxmlformats.org/officeDocument/2006/relationships/hyperlink" Id="rId23" Target="https://github.com/MyDemir/Araf-Protokol/blob/main/backend/scripts/routes/orders.js#L131-L155" TargetMode="External" /><Relationship Type="http://schemas.openxmlformats.org/officeDocument/2006/relationships/hyperlink" Id="rId64" Target="https://github.com/MyDemir/Araf-Protokol/blob/main/backend/scripts/routes/receipts.js" TargetMode="External" /><Relationship Type="http://schemas.openxmlformats.org/officeDocument/2006/relationships/hyperlink" Id="rId24" Target="https://github.com/MyDemir/Araf-Protokol/blob/main/backend/scripts/routes/receipts.js#L85-L89" TargetMode="External" /><Relationship Type="http://schemas.openxmlformats.org/officeDocument/2006/relationships/hyperlink" Id="rId62" Target="https://github.com/MyDemir/Araf-Protokol/blob/main/backend/scripts/routes/trades.js" TargetMode="External" /><Relationship Type="http://schemas.openxmlformats.org/officeDocument/2006/relationships/hyperlink" Id="rId22" Target="https://github.com/MyDemir/Araf-Protokol/blob/main/backend/scripts/routes/trades.js#L265-L268" TargetMode="External" /></Relationships>
</file>

<file path=word/_rels/footnotes.xml.rels><?xml version="1.0" encoding="UTF-8"?><Relationships xmlns="http://schemas.openxmlformats.org/package/2006/relationships"><Relationship Type="http://schemas.openxmlformats.org/officeDocument/2006/relationships/hyperlink" Id="rId65" Target="https://github.com/MyDemir/Araf-Protokol/blob/4149f6e34acd7e66f65334fa0bf56becf97984c1/backend/scripts/services/eventListener.js" TargetMode="External" /><Relationship Type="http://schemas.openxmlformats.org/officeDocument/2006/relationships/hyperlink" Id="rId25" Target="https://github.com/MyDemir/Araf-Protokol/blob/4149f6e34acd7e66f65334fa0bf56becf97984c1/backend/scripts/services/eventListener.js#L110-L123" TargetMode="External" /><Relationship Type="http://schemas.openxmlformats.org/officeDocument/2006/relationships/hyperlink" Id="rId69" Target="https://github.com/MyDemir/Araf-Protokol/blob/HEAD/backend/scripts/jobs/cleanupSensitiveData.js" TargetMode="External" /><Relationship Type="http://schemas.openxmlformats.org/officeDocument/2006/relationships/hyperlink" Id="rId54" Target="https://github.com/MyDemir/Araf-Protokol/blob/HEAD/backend/scripts/jobs/cleanupSensitiveData.js#L18-L33" TargetMode="External" /><Relationship Type="http://schemas.openxmlformats.org/officeDocument/2006/relationships/hyperlink" Id="rId55" Target="https://github.com/MyDemir/Araf-Protokol/blob/HEAD/backend/scripts/jobs/cleanupSensitiveData.js#L47-L99" TargetMode="External" /><Relationship Type="http://schemas.openxmlformats.org/officeDocument/2006/relationships/hyperlink" Id="rId68" Target="https://github.com/MyDemir/Araf-Protokol/blob/HEAD/backend/scripts/jobs/cleanupUserBankRiskMetadata.js" TargetMode="External" /><Relationship Type="http://schemas.openxmlformats.org/officeDocument/2006/relationships/hyperlink" Id="rId51" Target="https://github.com/MyDemir/Araf-Protokol/blob/HEAD/backend/scripts/jobs/cleanupUserBankRiskMetadata.js#L49-L105" TargetMode="External" /><Relationship Type="http://schemas.openxmlformats.org/officeDocument/2006/relationships/hyperlink" Id="rId67" Target="https://github.com/MyDemir/Araf-Protokol/blob/HEAD/backend/scripts/routes/orders.js" TargetMode="External" /><Relationship Type="http://schemas.openxmlformats.org/officeDocument/2006/relationships/hyperlink" Id="rId39" Target="https://github.com/MyDemir/Araf-Protokol/blob/HEAD/backend/scripts/routes/orders.js#L104-L112" TargetMode="External" /><Relationship Type="http://schemas.openxmlformats.org/officeDocument/2006/relationships/hyperlink" Id="rId66" Target="https://github.com/MyDemir/Araf-Protokol/blob/main/backend/scripts/routes/auth.js" TargetMode="External" /><Relationship Type="http://schemas.openxmlformats.org/officeDocument/2006/relationships/hyperlink" Id="rId30" Target="https://github.com/MyDemir/Araf-Protokol/blob/main/backend/scripts/routes/auth.js#L206-L219" TargetMode="External" /><Relationship Type="http://schemas.openxmlformats.org/officeDocument/2006/relationships/hyperlink" Id="rId63" Target="https://github.com/MyDemir/Araf-Protokol/blob/main/backend/scripts/routes/orders.js" TargetMode="External" /><Relationship Type="http://schemas.openxmlformats.org/officeDocument/2006/relationships/hyperlink" Id="rId23" Target="https://github.com/MyDemir/Araf-Protokol/blob/main/backend/scripts/routes/orders.js#L131-L155" TargetMode="External" /><Relationship Type="http://schemas.openxmlformats.org/officeDocument/2006/relationships/hyperlink" Id="rId64" Target="https://github.com/MyDemir/Araf-Protokol/blob/main/backend/scripts/routes/receipts.js" TargetMode="External" /><Relationship Type="http://schemas.openxmlformats.org/officeDocument/2006/relationships/hyperlink" Id="rId24" Target="https://github.com/MyDemir/Araf-Protokol/blob/main/backend/scripts/routes/receipts.js#L85-L89" TargetMode="External" /><Relationship Type="http://schemas.openxmlformats.org/officeDocument/2006/relationships/hyperlink" Id="rId62" Target="https://github.com/MyDemir/Araf-Protokol/blob/main/backend/scripts/routes/trades.js" TargetMode="External" /><Relationship Type="http://schemas.openxmlformats.org/officeDocument/2006/relationships/hyperlink" Id="rId22" Target="https://github.com/MyDemir/Araf-Protokol/blob/main/backend/scripts/routes/trades.js#L265-L26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2026-04-19T18:21:38Z</dcterms:created>
  <dcterms:modified xsi:type="dcterms:W3CDTF">2026-04-19T18:21:38Z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