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194" w:rsidRPr="0023740C" w:rsidRDefault="000D0194" w:rsidP="000D01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УНИВЕРСИТЕТ ИТМО</w:t>
      </w:r>
    </w:p>
    <w:p w:rsidR="000D0194" w:rsidRPr="0023740C" w:rsidRDefault="000D0194" w:rsidP="000D01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информатики</w:t>
      </w:r>
    </w:p>
    <w:p w:rsidR="000D0194" w:rsidRPr="0023740C" w:rsidRDefault="000D0194" w:rsidP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3740C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0D0194" w:rsidRDefault="000D0194" w:rsidP="000D01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</w:p>
    <w:p w:rsidR="000D0194" w:rsidRDefault="000D0194" w:rsidP="000D01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0D0194" w:rsidRDefault="000D0194" w:rsidP="000D01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3_SCHEDULE_REPORT_API"/>
      </w:tblPr>
      <w:tblGrid>
        <w:gridCol w:w="8634"/>
        <w:gridCol w:w="6"/>
      </w:tblGrid>
      <w:tr w:rsidR="000D0194" w:rsidRPr="00E8679A" w:rsidTr="00B25A91">
        <w:tc>
          <w:tcPr>
            <w:tcW w:w="0" w:type="auto"/>
            <w:shd w:val="clear" w:color="auto" w:fill="FFFFFF"/>
            <w:vAlign w:val="center"/>
            <w:hideMark/>
          </w:tcPr>
          <w:p w:rsidR="000D0194" w:rsidRPr="00636184" w:rsidRDefault="000D0194" w:rsidP="00B25A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361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Квантовые подходы к обработке информации и искусственному интеллекту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D0194" w:rsidRPr="00636184" w:rsidRDefault="000D0194" w:rsidP="00B25A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0D0194" w:rsidRDefault="000D0194" w:rsidP="000D019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D0194" w:rsidRDefault="000D0194" w:rsidP="000D019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D0194" w:rsidRPr="0023740C" w:rsidRDefault="000D0194" w:rsidP="000D019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D0194" w:rsidRPr="00636184" w:rsidRDefault="000D0194" w:rsidP="000D0194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636184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«Введение в </w:t>
      </w:r>
      <w:r w:rsidRPr="00636184">
        <w:rPr>
          <w:rFonts w:ascii="Times New Roman" w:hAnsi="Times New Roman" w:cs="Times New Roman"/>
          <w:i/>
          <w:iCs/>
          <w:sz w:val="32"/>
          <w:szCs w:val="32"/>
        </w:rPr>
        <w:t>Qiskit</w:t>
      </w:r>
      <w:r w:rsidRPr="00636184">
        <w:rPr>
          <w:rFonts w:ascii="Times New Roman" w:hAnsi="Times New Roman" w:cs="Times New Roman"/>
          <w:i/>
          <w:iCs/>
          <w:sz w:val="32"/>
          <w:szCs w:val="32"/>
          <w:lang w:val="ru-RU"/>
        </w:rPr>
        <w:t>»</w:t>
      </w:r>
    </w:p>
    <w:p w:rsidR="000D0194" w:rsidRDefault="000D0194" w:rsidP="000D019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0D0194" w:rsidRPr="000D0194" w:rsidRDefault="000D0194" w:rsidP="000D019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0D0194" w:rsidRPr="000D0194" w:rsidRDefault="000D0194" w:rsidP="000D019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Проскуряков Роман Владимирович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409413</w:t>
      </w:r>
    </w:p>
    <w:p w:rsidR="000D0194" w:rsidRDefault="000D0194" w:rsidP="000D019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0D0194" w:rsidRPr="0023740C" w:rsidRDefault="000D0194" w:rsidP="000D019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0D0194" w:rsidRPr="0023740C" w:rsidRDefault="000D0194" w:rsidP="000D019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0D0194" w:rsidRPr="0023740C" w:rsidRDefault="000D0194" w:rsidP="000D019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0D0194" w:rsidRPr="000D0194" w:rsidRDefault="000D0194" w:rsidP="000D01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740C">
        <w:rPr>
          <w:rFonts w:ascii="Times New Roman" w:hAnsi="Times New Roman" w:cs="Times New Roman"/>
          <w:sz w:val="28"/>
          <w:szCs w:val="28"/>
          <w:lang w:val="ru-RU"/>
        </w:rPr>
        <w:t>Санкт-Петербург,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9C6527" w:rsidRPr="000D0194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lastRenderedPageBreak/>
        <w:t>1. Однокубитная схема с гейтом Адамара</w:t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В данной части был создан один кубит, к которому применён гейт </w:t>
      </w:r>
      <w:r w:rsidRPr="000D0194">
        <w:rPr>
          <w:rFonts w:ascii="Times New Roman" w:hAnsi="Times New Roman" w:cs="Times New Roman"/>
          <w:sz w:val="28"/>
          <w:szCs w:val="28"/>
        </w:rPr>
        <w:t>Hadamard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D0194">
        <w:rPr>
          <w:rFonts w:ascii="Times New Roman" w:hAnsi="Times New Roman" w:cs="Times New Roman"/>
          <w:sz w:val="28"/>
          <w:szCs w:val="28"/>
        </w:rPr>
        <w:t>H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>). Этот гейт переводит кубит из базисного состояния |0</w:t>
      </w:r>
      <w:r w:rsidRPr="000D0194">
        <w:rPr>
          <w:rFonts w:ascii="Cambria Math" w:hAnsi="Cambria Math" w:cs="Cambria Math"/>
          <w:sz w:val="28"/>
          <w:szCs w:val="28"/>
        </w:rPr>
        <w:t>⟩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в суперпозицию состояний |0</w:t>
      </w:r>
      <w:r w:rsidRPr="000D0194">
        <w:rPr>
          <w:rFonts w:ascii="Cambria Math" w:hAnsi="Cambria Math" w:cs="Cambria Math"/>
          <w:sz w:val="28"/>
          <w:szCs w:val="28"/>
        </w:rPr>
        <w:t>⟩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и |1</w:t>
      </w:r>
      <w:r w:rsidRPr="000D0194">
        <w:rPr>
          <w:rFonts w:ascii="Cambria Math" w:hAnsi="Cambria Math" w:cs="Cambria Math"/>
          <w:sz w:val="28"/>
          <w:szCs w:val="28"/>
        </w:rPr>
        <w:t>⟩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с равными вероятностями.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 (1000 запусков):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439A779" wp14:editId="526F23C8">
            <wp:extent cx="5486400" cy="4060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{'0': 515, '1': 485}</w:t>
      </w:r>
    </w:p>
    <w:p w:rsidR="009C6527" w:rsidRPr="000D0194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2. Запутанное состояние двух кубитов</w:t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Для двух кубитов был применён гейт </w:t>
      </w:r>
      <w:r w:rsidRPr="000D0194">
        <w:rPr>
          <w:rFonts w:ascii="Times New Roman" w:hAnsi="Times New Roman" w:cs="Times New Roman"/>
          <w:sz w:val="28"/>
          <w:szCs w:val="28"/>
        </w:rPr>
        <w:t>H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к первому кубиту, а затем гейт </w:t>
      </w:r>
      <w:r w:rsidRPr="000D0194">
        <w:rPr>
          <w:rFonts w:ascii="Times New Roman" w:hAnsi="Times New Roman" w:cs="Times New Roman"/>
          <w:sz w:val="28"/>
          <w:szCs w:val="28"/>
        </w:rPr>
        <w:t>CNOT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D0194">
        <w:rPr>
          <w:rFonts w:ascii="Times New Roman" w:hAnsi="Times New Roman" w:cs="Times New Roman"/>
          <w:sz w:val="28"/>
          <w:szCs w:val="28"/>
        </w:rPr>
        <w:t>CX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>), что привело к образованию запутанного состояния. В результате оба кубита принимают одинаковые значения.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 (1000 запусков):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772DE45" wp14:editId="2532868D">
            <wp:extent cx="5486400" cy="51898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{'11': 487, '00': 513}</w:t>
      </w:r>
    </w:p>
    <w:p w:rsidR="009C6527" w:rsidRPr="000D0194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3. Универсальная функция симуляции</w:t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Для упрощения экспериментов были реализованы вспомогательные функции симуляции и визуализации квантовых схем. Они позволяют повторно использовать код для различных схем и шумовых моделей.</w:t>
      </w:r>
    </w:p>
    <w:p w:rsidR="009C6527" w:rsidRPr="000D0194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4. Симуляция с шумами (2 кубита)</w:t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В схему из двух кубитов была добавлена деполяризующая ошибка для гейтов </w:t>
      </w:r>
      <w:r w:rsidRPr="000D0194">
        <w:rPr>
          <w:rFonts w:ascii="Times New Roman" w:hAnsi="Times New Roman" w:cs="Times New Roman"/>
          <w:sz w:val="28"/>
          <w:szCs w:val="28"/>
        </w:rPr>
        <w:t>H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D0194">
        <w:rPr>
          <w:rFonts w:ascii="Times New Roman" w:hAnsi="Times New Roman" w:cs="Times New Roman"/>
          <w:sz w:val="28"/>
          <w:szCs w:val="28"/>
        </w:rPr>
        <w:t>CX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>. В идеальном случае должны наблюдаться только состояния '00' и '11', однако шумы приводят к появлению дополнительных состояний.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Результаты измерений: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69C4B50" wp14:editId="14107D8C">
            <wp:extent cx="5486400" cy="5226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{'00': 428, '10': 81, '11': 436, '01': 79}</w:t>
      </w:r>
    </w:p>
    <w:p w:rsidR="009C6527" w:rsidRPr="000D0194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5. Симуляция с шумами (3 кубита)</w:t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Была расширена схема до трёх кубитов с последовательным применением гейтов </w:t>
      </w:r>
      <w:r w:rsidRPr="000D0194">
        <w:rPr>
          <w:rFonts w:ascii="Times New Roman" w:hAnsi="Times New Roman" w:cs="Times New Roman"/>
          <w:sz w:val="28"/>
          <w:szCs w:val="28"/>
        </w:rPr>
        <w:t>CX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>. Из-за шумов распределение вероятностей становится более равномерным, и появляются все возможные комбинации состояний.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BBC9EA3" wp14:editId="6402DD26">
            <wp:extent cx="5486400" cy="39236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{'100': 49, '001': 93, '101': 38, '010': 47, '000': 353, '110': 90, '011': 39, '111': 315}</w:t>
      </w:r>
    </w:p>
    <w:p w:rsidR="009C6527" w:rsidRDefault="000D0194">
      <w:pPr>
        <w:pStyle w:val="21"/>
        <w:rPr>
          <w:rFonts w:ascii="Times New Roman" w:hAnsi="Times New Roman" w:cs="Times New Roman"/>
          <w:sz w:val="28"/>
          <w:szCs w:val="28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6. Реализация логического гейта </w:t>
      </w:r>
      <w:r w:rsidRPr="000D0194">
        <w:rPr>
          <w:rFonts w:ascii="Times New Roman" w:hAnsi="Times New Roman" w:cs="Times New Roman"/>
          <w:sz w:val="28"/>
          <w:szCs w:val="28"/>
        </w:rPr>
        <w:t>OR</w:t>
      </w:r>
    </w:p>
    <w:p w:rsidR="00771A1F" w:rsidRPr="00771A1F" w:rsidRDefault="00771A1F" w:rsidP="00771A1F">
      <w:r w:rsidRPr="00771A1F">
        <w:rPr>
          <w:noProof/>
          <w:lang w:val="ru-RU" w:eastAsia="ru-RU"/>
        </w:rPr>
        <w:drawing>
          <wp:inline distT="0" distB="0" distL="0" distR="0" wp14:anchorId="5C2D248D" wp14:editId="52EED92B">
            <wp:extent cx="990738" cy="117173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Гейт </w:t>
      </w:r>
      <w:r w:rsidRPr="000D0194">
        <w:rPr>
          <w:rFonts w:ascii="Times New Roman" w:hAnsi="Times New Roman" w:cs="Times New Roman"/>
          <w:sz w:val="28"/>
          <w:szCs w:val="28"/>
        </w:rPr>
        <w:t>OR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был реализован с использованием инверсий входов, гейта Тоффоли (</w:t>
      </w:r>
      <w:r w:rsidRPr="000D0194">
        <w:rPr>
          <w:rFonts w:ascii="Times New Roman" w:hAnsi="Times New Roman" w:cs="Times New Roman"/>
          <w:sz w:val="28"/>
          <w:szCs w:val="28"/>
        </w:rPr>
        <w:t>CCNOT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>) и последующей инверсии результата. Результат операции сохраняется в третьем кубите.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144D22E" wp14:editId="3C09F219">
            <wp:extent cx="5486400" cy="54597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{'000': 256, '111': 241, '110': 270, '101': 257}</w:t>
      </w:r>
    </w:p>
    <w:p w:rsidR="009C6527" w:rsidRDefault="000D0194">
      <w:pPr>
        <w:pStyle w:val="21"/>
        <w:rPr>
          <w:rFonts w:ascii="Times New Roman" w:hAnsi="Times New Roman" w:cs="Times New Roman"/>
          <w:sz w:val="28"/>
          <w:szCs w:val="28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7. Реализация гейта </w:t>
      </w:r>
      <w:r w:rsidRPr="000D0194">
        <w:rPr>
          <w:rFonts w:ascii="Times New Roman" w:hAnsi="Times New Roman" w:cs="Times New Roman"/>
          <w:sz w:val="28"/>
          <w:szCs w:val="28"/>
        </w:rPr>
        <w:t>NOT</w:t>
      </w:r>
    </w:p>
    <w:p w:rsidR="00771A1F" w:rsidRPr="00771A1F" w:rsidRDefault="00771A1F" w:rsidP="00771A1F">
      <w:r w:rsidRPr="00771A1F">
        <w:rPr>
          <w:noProof/>
          <w:lang w:val="ru-RU" w:eastAsia="ru-RU"/>
        </w:rPr>
        <w:drawing>
          <wp:inline distT="0" distB="0" distL="0" distR="0" wp14:anchorId="163ABCF3" wp14:editId="47B0379A">
            <wp:extent cx="685896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Гейт </w:t>
      </w:r>
      <w:r w:rsidRPr="000D0194">
        <w:rPr>
          <w:rFonts w:ascii="Times New Roman" w:hAnsi="Times New Roman" w:cs="Times New Roman"/>
          <w:sz w:val="28"/>
          <w:szCs w:val="28"/>
        </w:rPr>
        <w:t>NOT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 с помощью гейта </w:t>
      </w:r>
      <w:r w:rsidRPr="000D0194">
        <w:rPr>
          <w:rFonts w:ascii="Times New Roman" w:hAnsi="Times New Roman" w:cs="Times New Roman"/>
          <w:sz w:val="28"/>
          <w:szCs w:val="28"/>
        </w:rPr>
        <w:t>X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>, который инвертирует состояние кубита.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1D746A9" wp14:editId="5CDA8407">
            <wp:extent cx="2210108" cy="11241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{'1': 1}</w:t>
      </w:r>
    </w:p>
    <w:p w:rsidR="009C6527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8. Реализация гейта </w:t>
      </w:r>
      <w:r w:rsidRPr="000D0194">
        <w:rPr>
          <w:rFonts w:ascii="Times New Roman" w:hAnsi="Times New Roman" w:cs="Times New Roman"/>
          <w:sz w:val="28"/>
          <w:szCs w:val="28"/>
        </w:rPr>
        <w:t>CCNOT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(Тоффоли)</w:t>
      </w:r>
    </w:p>
    <w:p w:rsidR="00771A1F" w:rsidRPr="00771A1F" w:rsidRDefault="00771A1F" w:rsidP="00771A1F">
      <w:pPr>
        <w:rPr>
          <w:lang w:val="ru-RU"/>
        </w:rPr>
      </w:pPr>
      <w:r w:rsidRPr="00771A1F">
        <w:rPr>
          <w:noProof/>
          <w:lang w:val="ru-RU" w:eastAsia="ru-RU"/>
        </w:rPr>
        <w:drawing>
          <wp:inline distT="0" distB="0" distL="0" distR="0" wp14:anchorId="6F6C7E92" wp14:editId="656FB59D">
            <wp:extent cx="2848373" cy="213389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Гейт </w:t>
      </w:r>
      <w:r w:rsidRPr="000D0194">
        <w:rPr>
          <w:rFonts w:ascii="Times New Roman" w:hAnsi="Times New Roman" w:cs="Times New Roman"/>
          <w:sz w:val="28"/>
          <w:szCs w:val="28"/>
        </w:rPr>
        <w:t>CCNOT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инвертирует целевой кубит только в случае, если оба управляющих кубита находятся в состоянии |1</w:t>
      </w:r>
      <w:r w:rsidRPr="000D0194">
        <w:rPr>
          <w:rFonts w:ascii="Cambria Math" w:hAnsi="Cambria Math" w:cs="Cambria Math"/>
          <w:sz w:val="28"/>
          <w:szCs w:val="28"/>
        </w:rPr>
        <w:t>⟩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5330701" wp14:editId="0566D617">
            <wp:extent cx="5486400" cy="55041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{'000': 242, '010': 245, '111': 272, '001': 265}</w:t>
      </w:r>
    </w:p>
    <w:p w:rsidR="009C6527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Реализация гейта </w:t>
      </w:r>
      <w:r w:rsidRPr="000D0194">
        <w:rPr>
          <w:rFonts w:ascii="Times New Roman" w:hAnsi="Times New Roman" w:cs="Times New Roman"/>
          <w:sz w:val="28"/>
          <w:szCs w:val="28"/>
        </w:rPr>
        <w:t>CSWAP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(Фредкина)</w:t>
      </w:r>
    </w:p>
    <w:p w:rsidR="00771A1F" w:rsidRPr="00771A1F" w:rsidRDefault="00771A1F" w:rsidP="00771A1F">
      <w:pPr>
        <w:rPr>
          <w:lang w:val="ru-RU"/>
        </w:rPr>
      </w:pPr>
      <w:r w:rsidRPr="00771A1F">
        <w:rPr>
          <w:noProof/>
          <w:lang w:val="ru-RU" w:eastAsia="ru-RU"/>
        </w:rPr>
        <w:drawing>
          <wp:inline distT="0" distB="0" distL="0" distR="0" wp14:anchorId="1CC0DD45" wp14:editId="5E45A931">
            <wp:extent cx="2676899" cy="214342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Гейт </w:t>
      </w:r>
      <w:r w:rsidRPr="000D0194">
        <w:rPr>
          <w:rFonts w:ascii="Times New Roman" w:hAnsi="Times New Roman" w:cs="Times New Roman"/>
          <w:sz w:val="28"/>
          <w:szCs w:val="28"/>
        </w:rPr>
        <w:t>CSWAP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меняет местами два целевых кубита при условии, что управляющий кубит равен 1.</w:t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 (4000 запусков):</w:t>
      </w:r>
    </w:p>
    <w:p w:rsidR="00771A1F" w:rsidRPr="000D0194" w:rsidRDefault="00771A1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1A1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B4683F5" wp14:editId="49EE47BE">
            <wp:extent cx="5486400" cy="56051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27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Результаты измерений: {'101': 2000, '010': 2000}</w:t>
      </w:r>
    </w:p>
    <w:p w:rsidR="00E8679A" w:rsidRPr="00E8679A" w:rsidRDefault="00E8679A" w:rsidP="00E867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были добавлены дополнительные гейты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E867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E867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самом начале для квантовых битов 0 и 1. Они используются для демонстрации работы тестируемого гейта </w:t>
      </w:r>
      <w:r w:rsidRPr="000D0194">
        <w:rPr>
          <w:rFonts w:ascii="Times New Roman" w:hAnsi="Times New Roman" w:cs="Times New Roman"/>
          <w:sz w:val="28"/>
          <w:szCs w:val="28"/>
        </w:rPr>
        <w:t>CSWAP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0" w:name="_GoBack"/>
      <w:bookmarkEnd w:id="0"/>
    </w:p>
    <w:p w:rsidR="009C6527" w:rsidRPr="000D0194" w:rsidRDefault="000D0194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</w:p>
    <w:p w:rsidR="009C6527" w:rsidRPr="000D0194" w:rsidRDefault="000D01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D0194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базовые квантовые гейты, принципы запутанности и влияние шумов на квантовые вычисления. Результаты симуляций подтверждают теоретические ожидания и демонстрируют чувствительность квантовых схем к ошибкам.</w:t>
      </w:r>
    </w:p>
    <w:sectPr w:rsidR="009C6527" w:rsidRPr="000D01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0194"/>
    <w:rsid w:val="0015074B"/>
    <w:rsid w:val="0029639D"/>
    <w:rsid w:val="00326F90"/>
    <w:rsid w:val="00771A1F"/>
    <w:rsid w:val="009C6527"/>
    <w:rsid w:val="00AA1D8D"/>
    <w:rsid w:val="00B47730"/>
    <w:rsid w:val="00CB0664"/>
    <w:rsid w:val="00E8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4BFC0"/>
  <w14:defaultImageDpi w14:val="300"/>
  <w15:docId w15:val="{8CEF533F-5B12-48CD-8124-4D079666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8679A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8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852105-DD74-4B30-BF3A-9F7C3CDE0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4</cp:revision>
  <dcterms:created xsi:type="dcterms:W3CDTF">2013-12-23T23:15:00Z</dcterms:created>
  <dcterms:modified xsi:type="dcterms:W3CDTF">2026-01-20T01:00:00Z</dcterms:modified>
  <cp:category/>
</cp:coreProperties>
</file>