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MODEL DEVELOPMENT</w:t>
      </w:r>
    </w:p>
    <w:p/>
    <w:p>
      <w:r>
        <w:t>This section presents the comprehensive model development process used to build a regression system for predicting property prices across India. The workflow encompasses data preparation, feature engineering, baseline model evaluation, hyperparameter tuning, and comparative performance analysis.</w:t>
      </w:r>
    </w:p>
    <w:p/>
    <w:p>
      <w:pPr>
        <w:pStyle w:val="Heading2"/>
        <w:spacing w:after="240"/>
      </w:pPr>
      <w:r>
        <w:t>1. Data Preparation and Exploration</w:t>
      </w:r>
    </w:p>
    <w:p>
      <w:r>
        <w:t>The property price dataset was loaded and subjected to thorough exploratory data analysis. Initial inspection revealed:</w:t>
      </w:r>
    </w:p>
    <w:p>
      <w:pPr>
        <w:pStyle w:val="ListBullet"/>
      </w:pPr>
      <w:r>
        <w:t>• Dataset includes 33,500 property records after removing duplicates</w:t>
      </w:r>
    </w:p>
    <w:p>
      <w:pPr>
        <w:pStyle w:val="ListBullet"/>
      </w:pPr>
      <w:r>
        <w:t>• Features encompass property type, location, construction status, and specifications</w:t>
      </w:r>
    </w:p>
    <w:p>
      <w:pPr>
        <w:pStyle w:val="ListBullet"/>
      </w:pPr>
      <w:r>
        <w:t>• Target variable: Property price in lakhs (Indian currency)</w:t>
      </w:r>
    </w:p>
    <w:p>
      <w:pPr>
        <w:pStyle w:val="ListBullet"/>
      </w:pPr>
      <w:r>
        <w:t>• Key features: SQUARE_FT (area), BHK_NO. (bedrooms), LATITUDE, LONGITUDE</w:t>
      </w:r>
    </w:p>
    <w:p/>
    <w:p>
      <w:pPr>
        <w:pStyle w:val="Heading2"/>
        <w:spacing w:after="240"/>
      </w:pPr>
      <w:r>
        <w:t>2. Data Preprocessing and Feature Engineering</w:t>
      </w:r>
    </w:p>
    <w:p>
      <w:r>
        <w:t>The following preprocessing steps were applied:</w:t>
      </w:r>
    </w:p>
    <w:p>
      <w:pPr>
        <w:pStyle w:val="ListBullet"/>
      </w:pPr>
      <w:r>
        <w:t>• Categorical Encoding: POSTED_BY (Owner=0, Dealer=1, Builder=2) and BHK_OR_RK (BHK=0, RK=1) were mapped to numeric values</w:t>
      </w:r>
    </w:p>
    <w:p>
      <w:pPr>
        <w:pStyle w:val="ListBullet"/>
      </w:pPr>
      <w:r>
        <w:t>• Feature Removal: ADDRESS column was dropped due to inconsistent patterns and lack of numerical correlation with price</w:t>
      </w:r>
    </w:p>
    <w:p>
      <w:pPr>
        <w:pStyle w:val="ListBullet"/>
      </w:pPr>
      <w:r>
        <w:t>• Duplicate Removal: Identified and removed duplicate records to ensure data integrity</w:t>
      </w:r>
    </w:p>
    <w:p/>
    <w:p>
      <w:pPr>
        <w:pStyle w:val="Heading2"/>
        <w:spacing w:after="240"/>
      </w:pPr>
      <w:r>
        <w:t>3. Feature Scaling and Data Splitting</w:t>
      </w:r>
    </w:p>
    <w:p>
      <w:r>
        <w:t>To prepare data for machine learning models:</w:t>
      </w:r>
    </w:p>
    <w:p>
      <w:pPr>
        <w:pStyle w:val="ListBullet"/>
      </w:pPr>
      <w:r>
        <w:t>• Scaling Method: StandardScaler was applied to normalize feature ranges (mean=0, std=1), ensuring all features contribute equally to model training</w:t>
      </w:r>
    </w:p>
    <w:p>
      <w:pPr>
        <w:pStyle w:val="ListBullet"/>
      </w:pPr>
      <w:r>
        <w:t>• Data Split: An 80:20 train-test split was used (random_state=42 for reproducibility)</w:t>
      </w:r>
    </w:p>
    <w:p>
      <w:pPr>
        <w:pStyle w:val="ListBullet"/>
      </w:pPr>
      <w:r>
        <w:t>• Training Set: 26,800 samples | Testing Set: 6,700 samples</w:t>
      </w:r>
    </w:p>
    <w:p/>
    <w:p>
      <w:pPr>
        <w:pStyle w:val="Heading2"/>
        <w:spacing w:after="240"/>
      </w:pPr>
      <w:r>
        <w:t>4. Model Selection and Baseline Training</w:t>
      </w:r>
    </w:p>
    <w:p>
      <w:r>
        <w:t>Nine regression algorithms were selected for baseline training and comparison. Each model was trained on the standardized training data and evaluated on both training and testing sets:</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Train RMSE</w:t>
            </w:r>
          </w:p>
        </w:tc>
        <w:tc>
          <w:tcPr>
            <w:tcW w:type="dxa" w:w="1440"/>
          </w:tcPr>
          <w:p>
            <w:r>
              <w:rPr>
                <w:b/>
              </w:rPr>
              <w:t>Test RMSE</w:t>
            </w:r>
          </w:p>
        </w:tc>
        <w:tc>
          <w:tcPr>
            <w:tcW w:type="dxa" w:w="1440"/>
          </w:tcPr>
          <w:p>
            <w:r>
              <w:rPr>
                <w:b/>
              </w:rPr>
              <w:t>Train R²</w:t>
            </w:r>
          </w:p>
        </w:tc>
        <w:tc>
          <w:tcPr>
            <w:tcW w:type="dxa" w:w="1440"/>
          </w:tcPr>
          <w:p>
            <w:r>
              <w:rPr>
                <w:b/>
              </w:rPr>
              <w:t>Test R²</w:t>
            </w:r>
          </w:p>
        </w:tc>
        <w:tc>
          <w:tcPr>
            <w:tcW w:type="dxa" w:w="1440"/>
          </w:tcPr>
          <w:p>
            <w:r>
              <w:rPr>
                <w:b/>
              </w:rPr>
              <w:t>Overfitting?</w:t>
            </w:r>
          </w:p>
        </w:tc>
      </w:tr>
      <w:tr>
        <w:tc>
          <w:tcPr>
            <w:tcW w:type="dxa" w:w="1440"/>
          </w:tcPr>
          <w:p>
            <w:r>
              <w:t>Gradient Boosting</w:t>
            </w:r>
          </w:p>
        </w:tc>
        <w:tc>
          <w:tcPr>
            <w:tcW w:type="dxa" w:w="1440"/>
          </w:tcPr>
          <w:p>
            <w:r>
              <w:t>105.95</w:t>
            </w:r>
          </w:p>
        </w:tc>
        <w:tc>
          <w:tcPr>
            <w:tcW w:type="dxa" w:w="1440"/>
          </w:tcPr>
          <w:p>
            <w:r>
              <w:t>131.34</w:t>
            </w:r>
          </w:p>
        </w:tc>
        <w:tc>
          <w:tcPr>
            <w:tcW w:type="dxa" w:w="1440"/>
          </w:tcPr>
          <w:p>
            <w:r>
              <w:t>0.9725</w:t>
            </w:r>
          </w:p>
        </w:tc>
        <w:tc>
          <w:tcPr>
            <w:tcW w:type="dxa" w:w="1440"/>
          </w:tcPr>
          <w:p>
            <w:r>
              <w:t>0.9622</w:t>
            </w:r>
          </w:p>
        </w:tc>
        <w:tc>
          <w:tcPr>
            <w:tcW w:type="dxa" w:w="1440"/>
          </w:tcPr>
          <w:p>
            <w:r>
              <w:t>No</w:t>
            </w:r>
          </w:p>
        </w:tc>
      </w:tr>
      <w:tr>
        <w:tc>
          <w:tcPr>
            <w:tcW w:type="dxa" w:w="1440"/>
          </w:tcPr>
          <w:p>
            <w:r>
              <w:t>Random Forest</w:t>
            </w:r>
          </w:p>
        </w:tc>
        <w:tc>
          <w:tcPr>
            <w:tcW w:type="dxa" w:w="1440"/>
          </w:tcPr>
          <w:p>
            <w:r>
              <w:t>78.31</w:t>
            </w:r>
          </w:p>
        </w:tc>
        <w:tc>
          <w:tcPr>
            <w:tcW w:type="dxa" w:w="1440"/>
          </w:tcPr>
          <w:p>
            <w:r>
              <w:t>163.82</w:t>
            </w:r>
          </w:p>
        </w:tc>
        <w:tc>
          <w:tcPr>
            <w:tcW w:type="dxa" w:w="1440"/>
          </w:tcPr>
          <w:p>
            <w:r>
              <w:t>0.9850</w:t>
            </w:r>
          </w:p>
        </w:tc>
        <w:tc>
          <w:tcPr>
            <w:tcW w:type="dxa" w:w="1440"/>
          </w:tcPr>
          <w:p>
            <w:r>
              <w:t>0.9412</w:t>
            </w:r>
          </w:p>
        </w:tc>
        <w:tc>
          <w:tcPr>
            <w:tcW w:type="dxa" w:w="1440"/>
          </w:tcPr>
          <w:p>
            <w:r>
              <w:t>No</w:t>
            </w:r>
          </w:p>
        </w:tc>
      </w:tr>
      <w:tr>
        <w:tc>
          <w:tcPr>
            <w:tcW w:type="dxa" w:w="1440"/>
          </w:tcPr>
          <w:p>
            <w:r>
              <w:t>Decision Tree</w:t>
            </w:r>
          </w:p>
        </w:tc>
        <w:tc>
          <w:tcPr>
            <w:tcW w:type="dxa" w:w="1440"/>
          </w:tcPr>
          <w:p>
            <w:r>
              <w:t>15.19</w:t>
            </w:r>
          </w:p>
        </w:tc>
        <w:tc>
          <w:tcPr>
            <w:tcW w:type="dxa" w:w="1440"/>
          </w:tcPr>
          <w:p>
            <w:r>
              <w:t>165.00</w:t>
            </w:r>
          </w:p>
        </w:tc>
        <w:tc>
          <w:tcPr>
            <w:tcW w:type="dxa" w:w="1440"/>
          </w:tcPr>
          <w:p>
            <w:r>
              <w:t>0.9994</w:t>
            </w:r>
          </w:p>
        </w:tc>
        <w:tc>
          <w:tcPr>
            <w:tcW w:type="dxa" w:w="1440"/>
          </w:tcPr>
          <w:p>
            <w:r>
              <w:t>0.9403</w:t>
            </w:r>
          </w:p>
        </w:tc>
        <w:tc>
          <w:tcPr>
            <w:tcW w:type="dxa" w:w="1440"/>
          </w:tcPr>
          <w:p>
            <w:r>
              <w:t>Yes</w:t>
            </w:r>
          </w:p>
        </w:tc>
      </w:tr>
      <w:tr>
        <w:tc>
          <w:tcPr>
            <w:tcW w:type="dxa" w:w="1440"/>
          </w:tcPr>
          <w:p>
            <w:r>
              <w:t>CatBoost</w:t>
            </w:r>
          </w:p>
        </w:tc>
        <w:tc>
          <w:tcPr>
            <w:tcW w:type="dxa" w:w="1440"/>
          </w:tcPr>
          <w:p>
            <w:r>
              <w:t>68.39</w:t>
            </w:r>
          </w:p>
        </w:tc>
        <w:tc>
          <w:tcPr>
            <w:tcW w:type="dxa" w:w="1440"/>
          </w:tcPr>
          <w:p>
            <w:r>
              <w:t>322.13</w:t>
            </w:r>
          </w:p>
        </w:tc>
        <w:tc>
          <w:tcPr>
            <w:tcW w:type="dxa" w:w="1440"/>
          </w:tcPr>
          <w:p>
            <w:r>
              <w:t>0.9886</w:t>
            </w:r>
          </w:p>
        </w:tc>
        <w:tc>
          <w:tcPr>
            <w:tcW w:type="dxa" w:w="1440"/>
          </w:tcPr>
          <w:p>
            <w:r>
              <w:t>0.7725</w:t>
            </w:r>
          </w:p>
        </w:tc>
        <w:tc>
          <w:tcPr>
            <w:tcW w:type="dxa" w:w="1440"/>
          </w:tcPr>
          <w:p>
            <w:r>
              <w:t>Yes</w:t>
            </w:r>
          </w:p>
        </w:tc>
      </w:tr>
      <w:tr>
        <w:tc>
          <w:tcPr>
            <w:tcW w:type="dxa" w:w="1440"/>
          </w:tcPr>
          <w:p>
            <w:r>
              <w:t>LightGBM</w:t>
            </w:r>
          </w:p>
        </w:tc>
        <w:tc>
          <w:tcPr>
            <w:tcW w:type="dxa" w:w="1440"/>
          </w:tcPr>
          <w:p>
            <w:r>
              <w:t>190.95</w:t>
            </w:r>
          </w:p>
        </w:tc>
        <w:tc>
          <w:tcPr>
            <w:tcW w:type="dxa" w:w="1440"/>
          </w:tcPr>
          <w:p>
            <w:r>
              <w:t>327.86</w:t>
            </w:r>
          </w:p>
        </w:tc>
        <w:tc>
          <w:tcPr>
            <w:tcW w:type="dxa" w:w="1440"/>
          </w:tcPr>
          <w:p>
            <w:r>
              <w:t>0.9108</w:t>
            </w:r>
          </w:p>
        </w:tc>
        <w:tc>
          <w:tcPr>
            <w:tcW w:type="dxa" w:w="1440"/>
          </w:tcPr>
          <w:p>
            <w:r>
              <w:t>0.7643</w:t>
            </w:r>
          </w:p>
        </w:tc>
        <w:tc>
          <w:tcPr>
            <w:tcW w:type="dxa" w:w="1440"/>
          </w:tcPr>
          <w:p>
            <w:r>
              <w:t>Yes</w:t>
            </w:r>
          </w:p>
        </w:tc>
      </w:tr>
      <w:tr>
        <w:tc>
          <w:tcPr>
            <w:tcW w:type="dxa" w:w="1440"/>
          </w:tcPr>
          <w:p>
            <w:r>
              <w:t>XGBoost</w:t>
            </w:r>
          </w:p>
        </w:tc>
        <w:tc>
          <w:tcPr>
            <w:tcW w:type="dxa" w:w="1440"/>
          </w:tcPr>
          <w:p>
            <w:r>
              <w:t>46.83</w:t>
            </w:r>
          </w:p>
        </w:tc>
        <w:tc>
          <w:tcPr>
            <w:tcW w:type="dxa" w:w="1440"/>
          </w:tcPr>
          <w:p>
            <w:r>
              <w:t>347.98</w:t>
            </w:r>
          </w:p>
        </w:tc>
        <w:tc>
          <w:tcPr>
            <w:tcW w:type="dxa" w:w="1440"/>
          </w:tcPr>
          <w:p>
            <w:r>
              <w:t>0.9946</w:t>
            </w:r>
          </w:p>
        </w:tc>
        <w:tc>
          <w:tcPr>
            <w:tcW w:type="dxa" w:w="1440"/>
          </w:tcPr>
          <w:p>
            <w:r>
              <w:t>0.7345</w:t>
            </w:r>
          </w:p>
        </w:tc>
        <w:tc>
          <w:tcPr>
            <w:tcW w:type="dxa" w:w="1440"/>
          </w:tcPr>
          <w:p>
            <w:r>
              <w:t>Yes</w:t>
            </w:r>
          </w:p>
        </w:tc>
      </w:tr>
      <w:tr>
        <w:tc>
          <w:tcPr>
            <w:tcW w:type="dxa" w:w="1440"/>
          </w:tcPr>
          <w:p>
            <w:r>
              <w:t>KNN</w:t>
            </w:r>
          </w:p>
        </w:tc>
        <w:tc>
          <w:tcPr>
            <w:tcW w:type="dxa" w:w="1440"/>
          </w:tcPr>
          <w:p>
            <w:r>
              <w:t>369.80</w:t>
            </w:r>
          </w:p>
        </w:tc>
        <w:tc>
          <w:tcPr>
            <w:tcW w:type="dxa" w:w="1440"/>
          </w:tcPr>
          <w:p>
            <w:r>
              <w:t>437.21</w:t>
            </w:r>
          </w:p>
        </w:tc>
        <w:tc>
          <w:tcPr>
            <w:tcW w:type="dxa" w:w="1440"/>
          </w:tcPr>
          <w:p>
            <w:r>
              <w:t>0.6653</w:t>
            </w:r>
          </w:p>
        </w:tc>
        <w:tc>
          <w:tcPr>
            <w:tcW w:type="dxa" w:w="1440"/>
          </w:tcPr>
          <w:p>
            <w:r>
              <w:t>0.5808</w:t>
            </w:r>
          </w:p>
        </w:tc>
        <w:tc>
          <w:tcPr>
            <w:tcW w:type="dxa" w:w="1440"/>
          </w:tcPr>
          <w:p>
            <w:r>
              <w:t>Yes</w:t>
            </w:r>
          </w:p>
        </w:tc>
      </w:tr>
      <w:tr>
        <w:tc>
          <w:tcPr>
            <w:tcW w:type="dxa" w:w="1440"/>
          </w:tcPr>
          <w:p>
            <w:r>
              <w:t>Linear Regression</w:t>
            </w:r>
          </w:p>
        </w:tc>
        <w:tc>
          <w:tcPr>
            <w:tcW w:type="dxa" w:w="1440"/>
          </w:tcPr>
          <w:p>
            <w:r>
              <w:t>576.39</w:t>
            </w:r>
          </w:p>
        </w:tc>
        <w:tc>
          <w:tcPr>
            <w:tcW w:type="dxa" w:w="1440"/>
          </w:tcPr>
          <w:p>
            <w:r>
              <w:t>534.60</w:t>
            </w:r>
          </w:p>
        </w:tc>
        <w:tc>
          <w:tcPr>
            <w:tcW w:type="dxa" w:w="1440"/>
          </w:tcPr>
          <w:p>
            <w:r>
              <w:t>0.1869</w:t>
            </w:r>
          </w:p>
        </w:tc>
        <w:tc>
          <w:tcPr>
            <w:tcW w:type="dxa" w:w="1440"/>
          </w:tcPr>
          <w:p>
            <w:r>
              <w:t>0.3733</w:t>
            </w:r>
          </w:p>
        </w:tc>
        <w:tc>
          <w:tcPr>
            <w:tcW w:type="dxa" w:w="1440"/>
          </w:tcPr>
          <w:p>
            <w:r>
              <w:t>No</w:t>
            </w:r>
          </w:p>
        </w:tc>
      </w:tr>
      <w:tr>
        <w:tc>
          <w:tcPr>
            <w:tcW w:type="dxa" w:w="1440"/>
          </w:tcPr>
          <w:p>
            <w:r>
              <w:t>SVR</w:t>
            </w:r>
          </w:p>
        </w:tc>
        <w:tc>
          <w:tcPr>
            <w:tcW w:type="dxa" w:w="1440"/>
          </w:tcPr>
          <w:p>
            <w:r>
              <w:t>638.14</w:t>
            </w:r>
          </w:p>
        </w:tc>
        <w:tc>
          <w:tcPr>
            <w:tcW w:type="dxa" w:w="1440"/>
          </w:tcPr>
          <w:p>
            <w:r>
              <w:t>673.90</w:t>
            </w:r>
          </w:p>
        </w:tc>
        <w:tc>
          <w:tcPr>
            <w:tcW w:type="dxa" w:w="1440"/>
          </w:tcPr>
          <w:p>
            <w:r>
              <w:t>0.0034</w:t>
            </w:r>
          </w:p>
        </w:tc>
        <w:tc>
          <w:tcPr>
            <w:tcW w:type="dxa" w:w="1440"/>
          </w:tcPr>
          <w:p>
            <w:r>
              <w:t>0.0042</w:t>
            </w:r>
          </w:p>
        </w:tc>
        <w:tc>
          <w:tcPr>
            <w:tcW w:type="dxa" w:w="1440"/>
          </w:tcPr>
          <w:p>
            <w:r>
              <w:t>No</w:t>
            </w:r>
          </w:p>
        </w:tc>
      </w:tr>
    </w:tbl>
    <w:p/>
    <w:p>
      <w:r>
        <w:t>Key Observations: The Gradient Boosting model achieved the highest test R² (0.9622) with the lowest test RMSE (131.34), indicating superior generalization. Random Forest also demonstrated strong performance (Test R²: 0.9412, Test RMSE: 163.82) without significant overfitting.</w:t>
      </w:r>
    </w:p>
    <w:p/>
    <w:p>
      <w:pPr>
        <w:pStyle w:val="Heading2"/>
        <w:spacing w:after="240"/>
      </w:pPr>
      <w:r>
        <w:t>5. Hyperparameter Tuning and Model Optimization</w:t>
      </w:r>
    </w:p>
    <w:p>
      <w:r>
        <w:t>To improve model performance, the top-performing algorithms underwent comprehensive hyperparameter tuning using GridSearchCV and RandomizedSearchCV:</w:t>
      </w:r>
    </w:p>
    <w:p/>
    <w:p>
      <w:pPr>
        <w:pStyle w:val="ListBullet"/>
      </w:pPr>
      <w:r>
        <w:rPr>
          <w:b/>
        </w:rPr>
        <w:t xml:space="preserve">Decision Tree: </w:t>
      </w:r>
      <w:r>
        <w:t>GridSearchCV (cv=5) | Tuned: max_depth, min_samples_split, min_samples_leaf, max_features</w:t>
      </w:r>
    </w:p>
    <w:p>
      <w:pPr>
        <w:pStyle w:val="ListBullet"/>
      </w:pPr>
      <w:r>
        <w:rPr>
          <w:b/>
        </w:rPr>
        <w:t xml:space="preserve">Random Forest: </w:t>
      </w:r>
      <w:r>
        <w:t>GridSearchCV (cv=2) | Tuned: n_estimators, max_depth, min_samples_split, min_samples_leaf</w:t>
      </w:r>
    </w:p>
    <w:p>
      <w:pPr>
        <w:pStyle w:val="ListBullet"/>
      </w:pPr>
      <w:r>
        <w:rPr>
          <w:b/>
        </w:rPr>
        <w:t xml:space="preserve">KNN: </w:t>
      </w:r>
      <w:r>
        <w:t>GridSearchCV (cv=5) | Tuned: n_neighbors, weights, metric, p</w:t>
      </w:r>
    </w:p>
    <w:p>
      <w:pPr>
        <w:pStyle w:val="ListBullet"/>
      </w:pPr>
      <w:r>
        <w:rPr>
          <w:b/>
        </w:rPr>
        <w:t xml:space="preserve">Gradient Boosting: </w:t>
      </w:r>
      <w:r>
        <w:t>GridSearchCV (cv=5) | Tuned: n_estimators, learning_rate</w:t>
      </w:r>
    </w:p>
    <w:p>
      <w:pPr>
        <w:pStyle w:val="ListBullet"/>
      </w:pPr>
      <w:r>
        <w:rPr>
          <w:b/>
        </w:rPr>
        <w:t xml:space="preserve">XGBoost: </w:t>
      </w:r>
      <w:r>
        <w:t>GridSearchCV (cv=3) | Tuned: n_estimators, learning_rate, max_depth, subsample, colsample_bytree, reg_alpha, reg_lambda</w:t>
      </w:r>
    </w:p>
    <w:p>
      <w:pPr>
        <w:pStyle w:val="ListBullet"/>
      </w:pPr>
      <w:r>
        <w:rPr>
          <w:b/>
        </w:rPr>
        <w:t xml:space="preserve">CatBoost: </w:t>
      </w:r>
      <w:r>
        <w:t>GridSearchCV (cv=2) | Tuned: iterations, learning_rate, depth, l2_leaf_reg</w:t>
      </w:r>
    </w:p>
    <w:p>
      <w:pPr>
        <w:pStyle w:val="ListBullet"/>
      </w:pPr>
      <w:r>
        <w:rPr>
          <w:b/>
        </w:rPr>
        <w:t xml:space="preserve">LightGBM: </w:t>
      </w:r>
      <w:r>
        <w:t>RandomizedSearchCV (n_iter=15, cv=3) | Tuned: n_estimators, learning_rate, max_depth, num_leaves, min_child_samples, subsample, colsample_bytree, reg_alpha, reg_lambda</w:t>
      </w:r>
    </w:p>
    <w:p/>
    <w:p>
      <w:pPr>
        <w:pStyle w:val="Heading2"/>
        <w:spacing w:after="240"/>
      </w:pPr>
      <w:r>
        <w:t>6. Performance Evaluation and Metrics</w:t>
      </w:r>
    </w:p>
    <w:p>
      <w:r>
        <w:t>Model performance was assessed using four key regression metrics:</w:t>
      </w:r>
    </w:p>
    <w:p/>
    <w:p>
      <w:pPr>
        <w:pStyle w:val="ListBullet"/>
      </w:pPr>
      <w:r>
        <w:rPr>
          <w:b/>
        </w:rPr>
        <w:t xml:space="preserve">RMSE (Root Mean Squared Error): </w:t>
      </w:r>
      <w:r>
        <w:t>Lower values indicate better fit; sensitive to large errors</w:t>
      </w:r>
    </w:p>
    <w:p>
      <w:pPr>
        <w:pStyle w:val="ListBullet"/>
      </w:pPr>
      <w:r>
        <w:rPr>
          <w:b/>
        </w:rPr>
        <w:t xml:space="preserve">MAE (Mean Absolute Error): </w:t>
      </w:r>
      <w:r>
        <w:t>Average absolute prediction error in price lakhs</w:t>
      </w:r>
    </w:p>
    <w:p>
      <w:pPr>
        <w:pStyle w:val="ListBullet"/>
      </w:pPr>
      <w:r>
        <w:rPr>
          <w:b/>
        </w:rPr>
        <w:t xml:space="preserve">R² (Coefficient of Determination): </w:t>
      </w:r>
      <w:r>
        <w:t>Proportion of variance explained (0-1 scale; higher is better)</w:t>
      </w:r>
    </w:p>
    <w:p>
      <w:pPr>
        <w:pStyle w:val="ListBullet"/>
      </w:pPr>
      <w:r>
        <w:rPr>
          <w:b/>
        </w:rPr>
        <w:t xml:space="preserve">Overfitting Detection: </w:t>
      </w:r>
      <w:r>
        <w:t>Gap between Train R² and Test R² &gt; 0.05 indicates overfitting</w:t>
      </w:r>
    </w:p>
    <w:p/>
    <w:p>
      <w:pPr>
        <w:pStyle w:val="Heading2"/>
        <w:spacing w:after="240"/>
      </w:pPr>
      <w:r>
        <w:t>7. Final Model Selection</w:t>
      </w:r>
    </w:p>
    <w:p>
      <w:r>
        <w:t>Based on comprehensive evaluation, Gradient Boosting was identified as the optimal model:</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Test RMSE</w:t>
            </w:r>
          </w:p>
        </w:tc>
        <w:tc>
          <w:tcPr>
            <w:tcW w:type="dxa" w:w="4320"/>
          </w:tcPr>
          <w:p>
            <w:r>
              <w:t>131.34 lakhs</w:t>
            </w:r>
          </w:p>
        </w:tc>
      </w:tr>
      <w:tr>
        <w:tc>
          <w:tcPr>
            <w:tcW w:type="dxa" w:w="4320"/>
          </w:tcPr>
          <w:p>
            <w:r>
              <w:t>Test R²</w:t>
            </w:r>
          </w:p>
        </w:tc>
        <w:tc>
          <w:tcPr>
            <w:tcW w:type="dxa" w:w="4320"/>
          </w:tcPr>
          <w:p>
            <w:r>
              <w:t>0.9622</w:t>
            </w:r>
          </w:p>
        </w:tc>
      </w:tr>
      <w:tr>
        <w:tc>
          <w:tcPr>
            <w:tcW w:type="dxa" w:w="4320"/>
          </w:tcPr>
          <w:p>
            <w:r>
              <w:t>Train RMSE</w:t>
            </w:r>
          </w:p>
        </w:tc>
        <w:tc>
          <w:tcPr>
            <w:tcW w:type="dxa" w:w="4320"/>
          </w:tcPr>
          <w:p>
            <w:r>
              <w:t>105.95 lakhs</w:t>
            </w:r>
          </w:p>
        </w:tc>
      </w:tr>
      <w:tr>
        <w:tc>
          <w:tcPr>
            <w:tcW w:type="dxa" w:w="4320"/>
          </w:tcPr>
          <w:p>
            <w:r>
              <w:t>Overfitting Status</w:t>
            </w:r>
          </w:p>
        </w:tc>
        <w:tc>
          <w:tcPr>
            <w:tcW w:type="dxa" w:w="4320"/>
          </w:tcPr>
          <w:p>
            <w:r>
              <w:t>Minimal (ΔR² = 0.0103)</w:t>
            </w:r>
          </w:p>
        </w:tc>
      </w:tr>
      <w:tr>
        <w:tc>
          <w:tcPr>
            <w:tcW w:type="dxa" w:w="4320"/>
          </w:tcPr>
          <w:p/>
        </w:tc>
        <w:tc>
          <w:tcPr>
            <w:tcW w:type="dxa" w:w="4320"/>
          </w:tcPr>
          <w:p/>
        </w:tc>
      </w:tr>
    </w:tbl>
    <w:p/>
    <w:p>
      <w:r>
        <w:t>This model explains 96.22% of the variance in property prices on the test set, with predictions typically within ±131 lakhs of actual values. The minimal gap between training and testing R² indicates strong generalization capability.</w:t>
      </w:r>
    </w:p>
    <w:p/>
    <w:p>
      <w:pPr>
        <w:pStyle w:val="Heading2"/>
        <w:spacing w:after="240"/>
      </w:pPr>
      <w:r>
        <w:t>8. Key Model Insights and Findings</w:t>
      </w:r>
    </w:p>
    <w:p/>
    <w:p>
      <w:pPr>
        <w:pStyle w:val="ListBullet"/>
      </w:pPr>
      <w:r>
        <w:t>Ensemble Methods Superiority: Gradient Boosting and Random Forest significantly outperformed individual learners, demonstrating the power of ensemble techniques for complex real-estate price prediction</w:t>
      </w:r>
    </w:p>
    <w:p>
      <w:pPr>
        <w:pStyle w:val="ListBullet"/>
      </w:pPr>
      <w:r>
        <w:t>Feature Importance: Tree-based models revealed that property size (SQUARE_FT), number of bedrooms (BHK_NO.), and geographic location (LATITUDE, LONGITUDE) are the strongest price predictors</w:t>
      </w:r>
    </w:p>
    <w:p>
      <w:pPr>
        <w:pStyle w:val="ListBullet"/>
      </w:pPr>
      <w:r>
        <w:t>Overfitting Prevention: Models with controlled complexity (Gradient Boosting, Random Forest) achieved better generalization than fully-tuned boosters, suggesting the dataset benefits from regularization</w:t>
      </w:r>
    </w:p>
    <w:p>
      <w:pPr>
        <w:pStyle w:val="ListBullet"/>
      </w:pPr>
      <w:r>
        <w:t>Linear Models Underperformance: Simple linear regression and SVR performed poorly, confirming that property prices follow complex non-linear relationships</w:t>
      </w:r>
    </w:p>
    <w:p>
      <w:pPr>
        <w:pStyle w:val="ListBullet"/>
      </w:pPr>
      <w:r>
        <w:t>Scalability: Standard preprocessing (StandardScaler) proved sufficient for model training without needing advanced scaling techniques</w:t>
      </w:r>
    </w:p>
    <w:p/>
    <w:p>
      <w:pPr>
        <w:pStyle w:val="Heading2"/>
        <w:spacing w:after="240"/>
      </w:pPr>
      <w:r>
        <w:t>9. Conclusion</w:t>
      </w:r>
    </w:p>
    <w:p>
      <w:r>
        <w:t>The model development phase successfully created a robust regression pipeline for property price prediction. Through systematic data preparation, baseline evaluation, and iterative optimization, Gradient Boosting emerged as the best-performing model with 96.22% test R². The comprehensive comparison of nine algorithms and extensive hyperparameter tuning ensures that the selected model is both accurate and generalizable. This model is now ready for deployment in the production application for making price predictions on new property listings.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