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1D986948" w:rsidR="000D7871" w:rsidRPr="000D7871" w:rsidRDefault="000D7871" w:rsidP="00C038CF">
      <w:pPr>
        <w:rPr>
          <w:rPrChange w:id="34" w:author="Mykola Horbenko" w:date="2025-07-16T12:26:00Z" w16du:dateUtc="2025-07-16T10:26:00Z">
            <w:rPr>
              <w:lang w:val="uk-UA"/>
            </w:rPr>
          </w:rPrChange>
        </w:rPr>
      </w:pPr>
      <w:r>
        <w:t>[39] – “</w:t>
      </w:r>
      <w:r w:rsidRPr="000D7871">
        <w:rPr>
          <w:b/>
          <w:bCs/>
        </w:rPr>
        <w:t>JPA</w:t>
      </w:r>
      <w:r>
        <w:t>”</w:t>
      </w:r>
      <w:r>
        <w:br/>
      </w:r>
      <w:r w:rsidRPr="000D7871">
        <w:t>https://docs.spring.io/spring-data/jpa/reference/jpa.html</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6"/>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7"/>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one large piece of data, which is then sent as a result of an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Merge joins and sorts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really </w:t>
        </w:r>
      </w:ins>
      <w:ins w:id="120"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specialized for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secure REST endpoints and define role-based access using minimal configuration with annotations like @PreAuthorize.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w:t>
      </w:r>
      <w:r w:rsidR="004D2D6B">
        <w:lastRenderedPageBreak/>
        <w:t>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38"/>
                    <a:stretch>
                      <a:fillRect/>
                    </a:stretch>
                  </pic:blipFill>
                  <pic:spPr>
                    <a:xfrm>
                      <a:off x="0" y="0"/>
                      <a:ext cx="2581635" cy="847843"/>
                    </a:xfrm>
                    <a:prstGeom prst="rect">
                      <a:avLst/>
                    </a:prstGeom>
                  </pic:spPr>
                </pic:pic>
              </a:graphicData>
            </a:graphic>
          </wp:inline>
        </w:drawing>
      </w:r>
      <w:r>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39"/>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a valuable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r>
        <w:t xml:space="preserve">@ManyToOne indicates many to one relationship. In field </w:t>
      </w:r>
      <w:r>
        <w:rPr>
          <w:i/>
          <w:iCs/>
        </w:rPr>
        <w:t xml:space="preserve">post </w:t>
      </w:r>
      <w:r>
        <w:t xml:space="preserve">and </w:t>
      </w:r>
      <w:r>
        <w:rPr>
          <w:i/>
          <w:iCs/>
        </w:rPr>
        <w:t>user</w:t>
      </w:r>
      <w:r>
        <w:t xml:space="preserve"> that means that each user can leave a lot of comments and each post can have a lot of comments as well. </w:t>
      </w:r>
      <w:r>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r>
      <w:r w:rsidR="00921D9C">
        <w:lastRenderedPageBreak/>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0"/>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3999F10F" w14:textId="61C18D7C" w:rsidR="00824564" w:rsidRDefault="00824564" w:rsidP="008F33F6">
      <w:r>
        <w:lastRenderedPageBreak/>
        <w:t xml:space="preserve">To conclude, Spring framework offers an excellent solution for connecting backend and frontend together. There are possibilities for a declarative creation of endpoints. They are easily mapped to certain paths in the domain. </w:t>
      </w:r>
      <w:r>
        <w:t>Numerous annotations make the code easier to write and read and thus making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1"/>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73CB5F61" w14:textId="1DDFFE5F" w:rsidR="00546145" w:rsidRPr="006C78E1" w:rsidRDefault="00824564" w:rsidP="006C78E1">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to divide users into roles and </w:t>
      </w:r>
      <w:r w:rsidR="005C43CA">
        <w:t xml:space="preserve">restrict access to specific endpoints for specific roles.  </w:t>
      </w:r>
    </w:p>
    <w:sectPr w:rsidR="00546145" w:rsidRPr="006C78E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1733"/>
    <w:rsid w:val="00055BA5"/>
    <w:rsid w:val="000607B7"/>
    <w:rsid w:val="000633F9"/>
    <w:rsid w:val="00064437"/>
    <w:rsid w:val="0007494A"/>
    <w:rsid w:val="000761D9"/>
    <w:rsid w:val="0008169C"/>
    <w:rsid w:val="000950A4"/>
    <w:rsid w:val="000A030F"/>
    <w:rsid w:val="000A77FB"/>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350D0"/>
    <w:rsid w:val="0013512E"/>
    <w:rsid w:val="00144200"/>
    <w:rsid w:val="00147AE4"/>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0488"/>
    <w:rsid w:val="0022125F"/>
    <w:rsid w:val="00222417"/>
    <w:rsid w:val="0022399D"/>
    <w:rsid w:val="00232379"/>
    <w:rsid w:val="00246FEA"/>
    <w:rsid w:val="002534F4"/>
    <w:rsid w:val="0025722A"/>
    <w:rsid w:val="002610BF"/>
    <w:rsid w:val="00265E13"/>
    <w:rsid w:val="00266509"/>
    <w:rsid w:val="00274071"/>
    <w:rsid w:val="00287F34"/>
    <w:rsid w:val="002917AD"/>
    <w:rsid w:val="00292D55"/>
    <w:rsid w:val="002A7EE9"/>
    <w:rsid w:val="002B2D04"/>
    <w:rsid w:val="002C23B3"/>
    <w:rsid w:val="002D0802"/>
    <w:rsid w:val="002D3E04"/>
    <w:rsid w:val="002E0499"/>
    <w:rsid w:val="002E4BE6"/>
    <w:rsid w:val="002F15AA"/>
    <w:rsid w:val="002F2874"/>
    <w:rsid w:val="002F2DB2"/>
    <w:rsid w:val="002F396A"/>
    <w:rsid w:val="002F4CE1"/>
    <w:rsid w:val="002F4DE2"/>
    <w:rsid w:val="0030085F"/>
    <w:rsid w:val="00302E38"/>
    <w:rsid w:val="003069B3"/>
    <w:rsid w:val="00314DDB"/>
    <w:rsid w:val="0031670C"/>
    <w:rsid w:val="003241EB"/>
    <w:rsid w:val="003351C0"/>
    <w:rsid w:val="00336735"/>
    <w:rsid w:val="00342A38"/>
    <w:rsid w:val="00351917"/>
    <w:rsid w:val="00352056"/>
    <w:rsid w:val="00364736"/>
    <w:rsid w:val="00390E97"/>
    <w:rsid w:val="003950E4"/>
    <w:rsid w:val="003B4702"/>
    <w:rsid w:val="003C13E0"/>
    <w:rsid w:val="003C3EF6"/>
    <w:rsid w:val="003C648A"/>
    <w:rsid w:val="003D3344"/>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7216D"/>
    <w:rsid w:val="0047331B"/>
    <w:rsid w:val="00473E64"/>
    <w:rsid w:val="004864C7"/>
    <w:rsid w:val="00486AF7"/>
    <w:rsid w:val="00487E72"/>
    <w:rsid w:val="004A649F"/>
    <w:rsid w:val="004B24B7"/>
    <w:rsid w:val="004B4EF3"/>
    <w:rsid w:val="004B50E1"/>
    <w:rsid w:val="004B6D5B"/>
    <w:rsid w:val="004B6E1E"/>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43FA6"/>
    <w:rsid w:val="00545C94"/>
    <w:rsid w:val="00546145"/>
    <w:rsid w:val="0056363D"/>
    <w:rsid w:val="0056492C"/>
    <w:rsid w:val="00566736"/>
    <w:rsid w:val="0057398E"/>
    <w:rsid w:val="00573C1C"/>
    <w:rsid w:val="00576FB7"/>
    <w:rsid w:val="00587E12"/>
    <w:rsid w:val="00591B5F"/>
    <w:rsid w:val="00596AA3"/>
    <w:rsid w:val="005B261A"/>
    <w:rsid w:val="005B2942"/>
    <w:rsid w:val="005C1BF2"/>
    <w:rsid w:val="005C43CA"/>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92249"/>
    <w:rsid w:val="00692EFF"/>
    <w:rsid w:val="006B02E7"/>
    <w:rsid w:val="006B07DE"/>
    <w:rsid w:val="006B5E30"/>
    <w:rsid w:val="006C56E9"/>
    <w:rsid w:val="006C577B"/>
    <w:rsid w:val="006C58A8"/>
    <w:rsid w:val="006C78E1"/>
    <w:rsid w:val="006D4D9F"/>
    <w:rsid w:val="006E38A9"/>
    <w:rsid w:val="006E69AE"/>
    <w:rsid w:val="006E7291"/>
    <w:rsid w:val="007001FC"/>
    <w:rsid w:val="00703B35"/>
    <w:rsid w:val="00715809"/>
    <w:rsid w:val="0072731B"/>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4564"/>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7E47"/>
    <w:rsid w:val="00927EE6"/>
    <w:rsid w:val="00927F45"/>
    <w:rsid w:val="00933B7D"/>
    <w:rsid w:val="009369DA"/>
    <w:rsid w:val="00941960"/>
    <w:rsid w:val="00947111"/>
    <w:rsid w:val="009617EC"/>
    <w:rsid w:val="00962CB3"/>
    <w:rsid w:val="00966E93"/>
    <w:rsid w:val="00970BC7"/>
    <w:rsid w:val="0097151D"/>
    <w:rsid w:val="00986641"/>
    <w:rsid w:val="00990E39"/>
    <w:rsid w:val="00996FC0"/>
    <w:rsid w:val="0099784C"/>
    <w:rsid w:val="009C73A2"/>
    <w:rsid w:val="009D7BDD"/>
    <w:rsid w:val="009E5286"/>
    <w:rsid w:val="009E7219"/>
    <w:rsid w:val="009E7576"/>
    <w:rsid w:val="00A00B44"/>
    <w:rsid w:val="00A14348"/>
    <w:rsid w:val="00A1481A"/>
    <w:rsid w:val="00A17EF3"/>
    <w:rsid w:val="00A2118F"/>
    <w:rsid w:val="00A2481A"/>
    <w:rsid w:val="00A31C8D"/>
    <w:rsid w:val="00A45433"/>
    <w:rsid w:val="00A54510"/>
    <w:rsid w:val="00A64225"/>
    <w:rsid w:val="00A648D4"/>
    <w:rsid w:val="00A70769"/>
    <w:rsid w:val="00A8714A"/>
    <w:rsid w:val="00A903C1"/>
    <w:rsid w:val="00A91223"/>
    <w:rsid w:val="00A91F2D"/>
    <w:rsid w:val="00A93652"/>
    <w:rsid w:val="00A94C9F"/>
    <w:rsid w:val="00A94D51"/>
    <w:rsid w:val="00AA4D58"/>
    <w:rsid w:val="00AA5D7D"/>
    <w:rsid w:val="00AB176B"/>
    <w:rsid w:val="00AB1C5B"/>
    <w:rsid w:val="00AB26BB"/>
    <w:rsid w:val="00AC71A6"/>
    <w:rsid w:val="00AD522A"/>
    <w:rsid w:val="00AD66AE"/>
    <w:rsid w:val="00AE1A19"/>
    <w:rsid w:val="00AE21DA"/>
    <w:rsid w:val="00AF0E2F"/>
    <w:rsid w:val="00AF2178"/>
    <w:rsid w:val="00AF34A5"/>
    <w:rsid w:val="00AF4C24"/>
    <w:rsid w:val="00B208A5"/>
    <w:rsid w:val="00B36EE5"/>
    <w:rsid w:val="00B43309"/>
    <w:rsid w:val="00B43B2E"/>
    <w:rsid w:val="00B46717"/>
    <w:rsid w:val="00B67702"/>
    <w:rsid w:val="00B70F10"/>
    <w:rsid w:val="00B71390"/>
    <w:rsid w:val="00B82316"/>
    <w:rsid w:val="00B82C6A"/>
    <w:rsid w:val="00B90C88"/>
    <w:rsid w:val="00BC264B"/>
    <w:rsid w:val="00BC3347"/>
    <w:rsid w:val="00BC3AFA"/>
    <w:rsid w:val="00BD1DBA"/>
    <w:rsid w:val="00BD5236"/>
    <w:rsid w:val="00BE6725"/>
    <w:rsid w:val="00BF544C"/>
    <w:rsid w:val="00C038CF"/>
    <w:rsid w:val="00C05A01"/>
    <w:rsid w:val="00C06003"/>
    <w:rsid w:val="00C07528"/>
    <w:rsid w:val="00C113C3"/>
    <w:rsid w:val="00C12A0F"/>
    <w:rsid w:val="00C23D8F"/>
    <w:rsid w:val="00C37FB4"/>
    <w:rsid w:val="00C42A9F"/>
    <w:rsid w:val="00C42AF3"/>
    <w:rsid w:val="00C64DF6"/>
    <w:rsid w:val="00C66AD3"/>
    <w:rsid w:val="00C7573A"/>
    <w:rsid w:val="00C7647D"/>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1400D"/>
    <w:rsid w:val="00D26BD1"/>
    <w:rsid w:val="00D35E60"/>
    <w:rsid w:val="00D43154"/>
    <w:rsid w:val="00D44110"/>
    <w:rsid w:val="00D479AD"/>
    <w:rsid w:val="00D52562"/>
    <w:rsid w:val="00D54306"/>
    <w:rsid w:val="00D54DAF"/>
    <w:rsid w:val="00D55256"/>
    <w:rsid w:val="00D568A0"/>
    <w:rsid w:val="00D56CCB"/>
    <w:rsid w:val="00D625F3"/>
    <w:rsid w:val="00D72E56"/>
    <w:rsid w:val="00D74AEE"/>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41F7"/>
    <w:rsid w:val="00E25DDD"/>
    <w:rsid w:val="00E44A86"/>
    <w:rsid w:val="00E528EA"/>
    <w:rsid w:val="00E54D12"/>
    <w:rsid w:val="00E57540"/>
    <w:rsid w:val="00E61647"/>
    <w:rsid w:val="00E75861"/>
    <w:rsid w:val="00E76D86"/>
    <w:rsid w:val="00E83F94"/>
    <w:rsid w:val="00EA60AC"/>
    <w:rsid w:val="00EB3FF7"/>
    <w:rsid w:val="00EB4834"/>
    <w:rsid w:val="00ED22B9"/>
    <w:rsid w:val="00ED4F8A"/>
    <w:rsid w:val="00ED7239"/>
    <w:rsid w:val="00EF5FEA"/>
    <w:rsid w:val="00EF6A7E"/>
    <w:rsid w:val="00F03A25"/>
    <w:rsid w:val="00F0663C"/>
    <w:rsid w:val="00F174C0"/>
    <w:rsid w:val="00F17E23"/>
    <w:rsid w:val="00F21A45"/>
    <w:rsid w:val="00F23776"/>
    <w:rsid w:val="00F26ACD"/>
    <w:rsid w:val="00F31CD5"/>
    <w:rsid w:val="00F3347B"/>
    <w:rsid w:val="00F550DF"/>
    <w:rsid w:val="00F63A21"/>
    <w:rsid w:val="00F704B1"/>
    <w:rsid w:val="00F739A8"/>
    <w:rsid w:val="00F81844"/>
    <w:rsid w:val="00FA047C"/>
    <w:rsid w:val="00FA3947"/>
    <w:rsid w:val="00FA5B81"/>
    <w:rsid w:val="00FA66FC"/>
    <w:rsid w:val="00FA7343"/>
    <w:rsid w:val="00FB13B4"/>
    <w:rsid w:val="00FB16FE"/>
    <w:rsid w:val="00FB2F8B"/>
    <w:rsid w:val="00FC01E7"/>
    <w:rsid w:val="00FC6772"/>
    <w:rsid w:val="00FD3A03"/>
    <w:rsid w:val="00FE6D62"/>
    <w:rsid w:val="00FF2A06"/>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4.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fontTable" Target="fontTable.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image" Target="media/image1.png"/><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microsoft.com/office/2011/relationships/people" Target="people.xm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39</Pages>
  <Words>15063</Words>
  <Characters>85863</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76</cp:revision>
  <dcterms:created xsi:type="dcterms:W3CDTF">2025-07-16T18:29:00Z</dcterms:created>
  <dcterms:modified xsi:type="dcterms:W3CDTF">2025-08-01T12:13:00Z</dcterms:modified>
</cp:coreProperties>
</file>