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Inverse</w:t>
      </w:r>
      <w:r>
        <w:t xml:space="preserve"> </w:t>
      </w:r>
      <w:r>
        <w:t xml:space="preserve">Probability</w:t>
      </w:r>
      <w:r>
        <w:t xml:space="preserve"> </w:t>
      </w:r>
      <w:r>
        <w:t xml:space="preserve">Weighting</w:t>
      </w:r>
      <w:r>
        <w:t xml:space="preserve"> </w:t>
      </w:r>
      <w:r>
        <w:t xml:space="preserve">Adjustment</w:t>
      </w:r>
      <w:r>
        <w:t xml:space="preserve"> </w:t>
      </w:r>
      <w:r>
        <w:t xml:space="preserve">of</w:t>
      </w:r>
      <w:r>
        <w:t xml:space="preserve"> </w:t>
      </w:r>
      <w:r>
        <w:t xml:space="preserve">the</w:t>
      </w:r>
      <w:r>
        <w:t xml:space="preserve"> </w:t>
      </w:r>
      <w:r>
        <w:t xml:space="preserve">Logistic</w:t>
      </w:r>
      <w:r>
        <w:t xml:space="preserve"> </w:t>
      </w:r>
      <w:r>
        <w:t xml:space="preserve">Regression</w:t>
      </w:r>
      <w:r>
        <w:t xml:space="preserve"> </w:t>
      </w:r>
      <w:r>
        <w:t xml:space="preserve">Calibration-in-the-Large</w:t>
      </w:r>
    </w:p>
    <w:p>
      <w:pPr>
        <w:pStyle w:val="Heading1"/>
      </w:pPr>
      <w:bookmarkStart w:id="20" w:name="introduction"/>
      <w:r>
        <w:t xml:space="preserve">Introduction</w:t>
      </w:r>
      <w:bookmarkEnd w:id="20"/>
    </w:p>
    <w:p>
      <w:pPr>
        <w:pStyle w:val="FirstParagraph"/>
      </w:pPr>
      <w:r>
        <w:t xml:space="preserve">Clinical prediction models (CPMs) need to be validated before they are used. A fundamental test of their validity is calibration: the agreement between observed and predicted outcomes. This requires that among individuals with p% risk of an event, p% of those have the event</w:t>
      </w:r>
      <w:r>
        <w:t xml:space="preserve"> </w:t>
      </w:r>
      <w:r>
        <w:t xml:space="preserve">[1]</w:t>
      </w:r>
      <w:r>
        <w:t xml:space="preserve">. The simplest assessment of calibration is the calibration-in-the-large, which tests for agreement in mean calibration (the weakest form of calibration)</w:t>
      </w:r>
      <w:r>
        <w:t xml:space="preserve"> </w:t>
      </w:r>
      <w:r>
        <w:t xml:space="preserve">[2]</w:t>
      </w:r>
      <w:r>
        <w:t xml:space="preserve">. With continuous or binary outcomes, such a test is straight-forward: it can be translated to a test for a zero intercept in a regression model with an appropriately transformed linear predictor as an offset, and no other predictors.</w:t>
      </w:r>
    </w:p>
    <w:p>
      <w:pPr>
        <w:pStyle w:val="BodyText"/>
      </w:pPr>
      <m:oMathPara>
        <m:oMathParaPr>
          <m:jc m:val="center"/>
        </m:oMathParaPr>
        <m:oMath>
          <m:m>
            <m:mPr>
              <m:baseJc m:val="center"/>
              <m:plcHide m:val="1"/>
              <m:mcs>
                <m:mc>
                  <m:mcPr>
                    <m:mcJc m:val="center"/>
                    <m:count m:val="1"/>
                  </m:mcPr>
                </m:mc>
              </m:mcs>
            </m:mPr>
            <m:mr>
              <m:e>
                <m:r>
                  <m:t>5</m:t>
                </m:r>
                <m:r>
                  <m:t>=</m:t>
                </m:r>
                <m:r>
                  <m:t>5</m:t>
                </m:r>
              </m:e>
            </m:mr>
          </m:m>
        </m:oMath>
      </m:oMathPara>
    </w:p>
    <w:p>
      <w:pPr>
        <w:pStyle w:val="FirstParagraph"/>
      </w:pPr>
      <w:r>
        <w:t xml:space="preserve">In the case of Cox regression, however, estimation of calibration is complicated in three ways. First, calibration can be computed at multiple time-points and one must decide which time-points to evaluate, and how to integrate over these time-points. Second, there exists no explicit intercept in the model because of the non-parametric baseline hazard function</w:t>
      </w:r>
      <w:r>
        <w:t xml:space="preserve"> </w:t>
      </w:r>
      <w:r>
        <w:t xml:space="preserve">[3]</w:t>
      </w:r>
      <w:r>
        <w:t xml:space="preserve">. Third, censoring needs to be handled in an appropriate way. The choice and combination of time-points determines what we mean by calibration; this is problem-specific and not the focus of this paper. The lack of intercept can be overcome provided sufficient information concerning the baseline survival curve is available (although this is rarely the case</w:t>
      </w:r>
      <w:r>
        <w:t xml:space="preserve"> </w:t>
      </w:r>
      <w:r>
        <w:t xml:space="preserve">[4]</w:t>
      </w:r>
      <w:r>
        <w:t xml:space="preserve">). Once this is established, estimated survival probabilities are available. Censoring leads to problems in determining observed survival. This is commonly overcome by using Kaplan-Meier estimates</w:t>
      </w:r>
      <w:r>
        <w:t xml:space="preserve"> </w:t>
      </w:r>
      <w:r>
        <w:t xml:space="preserve">[3], [5]</w:t>
      </w:r>
      <w:r>
        <w:t xml:space="preserve">. However, the censoring assumptions required for the Kaplan-Meier estimate are stronger than those required for the Cox model: the former requiring unconditional independence (random censoring), the latter requiring independence conditional on covariates only. This is a problem because when miscalibration is found using this approach, it is not clear whether this is genuine miscalibration or a consequence of the different censoring assumptions.</w:t>
      </w:r>
    </w:p>
    <w:p>
      <w:pPr>
        <w:pStyle w:val="BodyText"/>
      </w:pPr>
      <w:r>
        <w:t xml:space="preserve">Royston</w:t>
      </w:r>
      <w:r>
        <w:t xml:space="preserve"> </w:t>
      </w:r>
      <w:r>
        <w:t xml:space="preserve">[6]</w:t>
      </w:r>
      <w:r>
        <w:t xml:space="preserve"> </w:t>
      </w:r>
      <w:r>
        <w:t xml:space="preserve">presents an alternative approach for calibration at external validation. He uses the approach of pseudo-observations, as described by Perme and Anderson</w:t>
      </w:r>
      <w:r>
        <w:t xml:space="preserve"> </w:t>
      </w:r>
      <w:r>
        <w:t xml:space="preserve">[7]</w:t>
      </w:r>
      <w:r>
        <w:t xml:space="preserve"> </w:t>
      </w:r>
      <w:r>
        <w:t xml:space="preserve">to overcome the censoring issue and produce observed probabilities at individual level; however, this assumes that censoring is independent of covariates. In this paper and another</w:t>
      </w:r>
      <w:r>
        <w:t xml:space="preserve"> </w:t>
      </w:r>
      <w:r>
        <w:t xml:space="preserve">[8]</w:t>
      </w:r>
      <w:r>
        <w:t xml:space="preserve"> </w:t>
      </w:r>
      <w:r>
        <w:t xml:space="preserve">he proposes the comparison of KM curves in risk groups, which alleviates the strength of the independence assumption required for the censoring handling to be comparable between the Cox model and the KM curves (since the KM curves now only assume independent censoring within risk group). In these papers a fractional polynomial approach to estimating the baseline survival function (and thus being able to share it efficiently) is also provided.</w:t>
      </w:r>
    </w:p>
    <w:p>
      <w:pPr>
        <w:pStyle w:val="BodyText"/>
      </w:pPr>
      <w:r>
        <w:t xml:space="preserve">QRISK used the overall KM approach in the 2007 paper</w:t>
      </w:r>
      <w:r>
        <w:t xml:space="preserve"> </w:t>
      </w:r>
      <w:r>
        <w:t xml:space="preserve">[5]</w:t>
      </w:r>
      <w:r>
        <w:t xml:space="preserve"> </w:t>
      </w:r>
      <w:r>
        <w:t xml:space="preserve">with good results (6.34% predicted vs 6.25% observed in women and 8.86% predicted vs 8.88% observed in men), but bad results in the QRISK3 update</w:t>
      </w:r>
      <w:r>
        <w:t xml:space="preserve"> </w:t>
      </w:r>
      <w:r>
        <w:t xml:space="preserve">[9]</w:t>
      </w:r>
      <w:r>
        <w:t xml:space="preserve"> </w:t>
      </w:r>
      <w:r>
        <w:t xml:space="preserve">(4.7% predicted v 5.8% observed in women and 6.4% predicted vs 7.5% observed in men ). This may be because, as follow-up extends, the dependence of censoring on the covariates increases (QRISK had 12 years follow-up, QRISK3 18 years) and an important change between the update was the lower age limit moved from 35 to 25.</w:t>
      </w:r>
    </w:p>
    <w:p>
      <w:pPr>
        <w:pStyle w:val="BodyText"/>
      </w:pPr>
      <w:r>
        <w:t xml:space="preserve">A solution to this problem is to apply a weighting to uncensored patients based on their probability of being censored according to a model that accounts for covariates. The Inverse Probability of Censoring Weighting (IPCW) relaxes the assumption that patients who were censored are identical to those that remain at risk. The weighting inflates the patients who were similar to the censored population to account for those patients who are no longer available at a given time.</w:t>
      </w:r>
    </w:p>
    <w:p>
      <w:pPr>
        <w:pStyle w:val="BodyText"/>
      </w:pPr>
      <w:r>
        <w:t xml:space="preserve">Gerds &amp; Schumacher</w:t>
      </w:r>
      <w:r>
        <w:t xml:space="preserve"> </w:t>
      </w:r>
      <w:r>
        <w:t xml:space="preserve">[10]</w:t>
      </w:r>
      <w:r>
        <w:t xml:space="preserve"> </w:t>
      </w:r>
      <w:r>
        <w:t xml:space="preserve">have thoroughly investigated the requirements and advantages of applying an IPCW to a performance measure for modelling using the Brier score as an example and demonstrating the efficacy of its use, which was augmented by Spitoni et al</w:t>
      </w:r>
      <w:r>
        <w:t xml:space="preserve"> </w:t>
      </w:r>
      <w:r>
        <w:t xml:space="preserve">[11]</w:t>
      </w:r>
      <w:r>
        <w:t xml:space="preserve"> </w:t>
      </w:r>
      <w:r>
        <w:t xml:space="preserve">who demonstrated that any proper scoring rule can be improved by the use of the IPCW. This work has been added to by Han et al</w:t>
      </w:r>
      <w:r>
        <w:t xml:space="preserve"> </w:t>
      </w:r>
      <w:r>
        <w:t xml:space="preserve">[12]</w:t>
      </w:r>
      <w:r>
        <w:t xml:space="preserve"> </w:t>
      </w:r>
      <w:r>
        <w:t xml:space="preserve">and Liu et al</w:t>
      </w:r>
      <w:r>
        <w:t xml:space="preserve"> </w:t>
      </w:r>
      <w:r>
        <w:t xml:space="preserve">[13]</w:t>
      </w:r>
      <w:r>
        <w:t xml:space="preserve"> </w:t>
      </w:r>
      <w:r>
        <w:t xml:space="preserve">who demonstrated that the c-statistic is also suitable.</w:t>
      </w:r>
      <w:r>
        <w:t xml:space="preserve"> </w:t>
      </w:r>
      <w:r>
        <w:t xml:space="preserve">In this paper we present an approach to assessing the calibration intercept (calibration-in-the-large) and calibration slope in time-to-event models based on estimating the censoring distribution, and reweighting observations by the inverse of the censoring probability. We first show, theoretically, how this method can be used and evidence that the metrics for calibration are amenable to its use. We then compare simulation results from using this weighted estimate to an unweighted estimate within various commonly used methods of calibration assessment.</w:t>
      </w:r>
    </w:p>
    <w:p>
      <w:pPr>
        <w:pStyle w:val="Heading1"/>
      </w:pPr>
      <w:bookmarkStart w:id="21" w:name="methods"/>
      <w:r>
        <w:t xml:space="preserve">Methods</w:t>
      </w:r>
      <w:bookmarkEnd w:id="21"/>
    </w:p>
    <w:p>
      <w:pPr>
        <w:pStyle w:val="Heading2"/>
      </w:pPr>
      <w:bookmarkStart w:id="22" w:name="theory"/>
      <w:r>
        <w:t xml:space="preserve">Theory</w:t>
      </w:r>
      <w:bookmarkEnd w:id="22"/>
    </w:p>
    <w:p>
      <w:pPr>
        <w:pStyle w:val="FirstParagraph"/>
      </w:pPr>
      <w:r>
        <w:t xml:space="preserve">[</w:t>
      </w:r>
      <w:r>
        <w:rPr>
          <w:b/>
        </w:rPr>
        <w:t xml:space="preserve">Lots of Theory work on the probabilities involved from Matt</w:t>
      </w:r>
      <w:r>
        <w:t xml:space="preserve">]</w:t>
      </w:r>
    </w:p>
    <w:p>
      <w:pPr>
        <w:pStyle w:val="Heading2"/>
      </w:pPr>
      <w:bookmarkStart w:id="23" w:name="aims"/>
      <w:r>
        <w:t xml:space="preserve">Aims</w:t>
      </w:r>
      <w:bookmarkEnd w:id="23"/>
    </w:p>
    <w:p>
      <w:pPr>
        <w:pStyle w:val="FirstParagraph"/>
      </w:pPr>
      <w:r>
        <w:t xml:space="preserve">The aim of this study is to formalise the bias induced by applying different methods of assessing model calibration to data that is susceptible to censoring and to compare it to the bias when this data has been adjusted by the Inverse Probability of Censoring Weighting (IPCW).</w:t>
      </w:r>
    </w:p>
    <w:p>
      <w:pPr>
        <w:pStyle w:val="Heading2"/>
      </w:pPr>
      <w:bookmarkStart w:id="24" w:name="data-generating-method"/>
      <w:r>
        <w:t xml:space="preserve">Data Generating Method</w:t>
      </w:r>
      <w:bookmarkEnd w:id="24"/>
    </w:p>
    <w:p>
      <w:pPr>
        <w:pStyle w:val="FirstParagraph"/>
      </w:pPr>
      <w:r>
        <w:t xml:space="preserve">We simulated populations of patients with survival and censoring times, and took the observed event time as the minimum of these two values along with an event indicator of whether this was the survival or censoring time</w:t>
      </w:r>
      <w:r>
        <w:t xml:space="preserve"> </w:t>
      </w:r>
      <w:r>
        <w:t xml:space="preserve">[14]</w:t>
      </w:r>
      <w:r>
        <w:t xml:space="preserve">. Each population was simulated with two parameters:</w:t>
      </w:r>
      <w:r>
        <w:t xml:space="preserve"> </w:t>
      </w:r>
      <m:oMath>
        <m:r>
          <m:t>β</m:t>
        </m:r>
      </m:oMath>
      <w:r>
        <w:t xml:space="preserve">,</w:t>
      </w:r>
      <w:r>
        <w:t xml:space="preserve"> </w:t>
      </w:r>
      <m:oMath>
        <m:r>
          <m:t>γ</m:t>
        </m:r>
      </m:oMath>
      <w:r>
        <w:t xml:space="preserve"> </w:t>
      </w:r>
      <w:r>
        <w:t xml:space="preserve">and</w:t>
      </w:r>
      <w:r>
        <w:t xml:space="preserve"> </w:t>
      </w:r>
      <m:oMath>
        <m:r>
          <m:t>η</m:t>
        </m:r>
      </m:oMath>
      <w:r>
        <w:t xml:space="preserve">, which defined the proportional hazards coefficients for the survival and censoring distributions and the baseline hazard function, respectively.</w:t>
      </w:r>
    </w:p>
    <w:p>
      <w:pPr>
        <w:pStyle w:val="BodyText"/>
      </w:pPr>
      <w:r>
        <w:t xml:space="preserve">We varied the parameters to take all the values,</w:t>
      </w:r>
      <m:oMath>
        <m:r>
          <m:t>γ</m:t>
        </m:r>
        <m:r>
          <m:t>=</m:t>
        </m:r>
        <m:r>
          <m:t>{</m:t>
        </m:r>
        <m:r>
          <m:t>−</m:t>
        </m:r>
        <m:r>
          <m:t>2</m:t>
        </m:r>
        <m:r>
          <m:t>,</m:t>
        </m:r>
        <m:r>
          <m:t>−</m:t>
        </m:r>
        <m:r>
          <m:t>1.5</m:t>
        </m:r>
        <m:r>
          <m:t>,</m:t>
        </m:r>
        <m:r>
          <m:t>−</m:t>
        </m:r>
        <m:r>
          <m:t>1</m:t>
        </m:r>
        <m:r>
          <m:t>,</m:t>
        </m:r>
        <m:r>
          <m:t>−</m:t>
        </m:r>
        <m:r>
          <m:t>0.5</m:t>
        </m:r>
        <m:r>
          <m:t>,</m:t>
        </m:r>
        <m:r>
          <m:t>0</m:t>
        </m:r>
        <m:r>
          <m:t>,</m:t>
        </m:r>
        <m:r>
          <m:t>0.5</m:t>
        </m:r>
        <m:r>
          <m:t>,</m:t>
        </m:r>
        <m:r>
          <m:t>1</m:t>
        </m:r>
        <m:r>
          <m:t>,</m:t>
        </m:r>
        <m:r>
          <m:t>1.5</m:t>
        </m:r>
        <m:r>
          <m:t>,</m:t>
        </m:r>
        <m:r>
          <m:t>2</m:t>
        </m:r>
        <m:r>
          <m:t>}</m:t>
        </m:r>
      </m:oMath>
      <w:r>
        <w:t xml:space="preserve">,</w:t>
      </w:r>
      <w:r>
        <w:t xml:space="preserve"> </w:t>
      </w:r>
      <m:oMath>
        <m:r>
          <m:t>β</m:t>
        </m:r>
        <m:r>
          <m:t>=</m:t>
        </m:r>
        <m:r>
          <m:t>{</m:t>
        </m:r>
        <m:r>
          <m:t>−</m:t>
        </m:r>
        <m:r>
          <m:t>2</m:t>
        </m:r>
        <m:r>
          <m:t>,</m:t>
        </m:r>
        <m:r>
          <m:t>−</m:t>
        </m:r>
        <m:r>
          <m:t>1.5</m:t>
        </m:r>
        <m:r>
          <m:t>,</m:t>
        </m:r>
        <m:r>
          <m:t>−</m:t>
        </m:r>
        <m:r>
          <m:t>1</m:t>
        </m:r>
        <m:r>
          <m:t>,</m:t>
        </m:r>
        <m:r>
          <m:t>−</m:t>
        </m:r>
        <m:r>
          <m:t>0.5</m:t>
        </m:r>
        <m:r>
          <m:t>,</m:t>
        </m:r>
        <m:r>
          <m:t>0.5</m:t>
        </m:r>
        <m:r>
          <m:t>,</m:t>
        </m:r>
        <m:r>
          <m:t>1</m:t>
        </m:r>
        <m:r>
          <m:t>,</m:t>
        </m:r>
        <m:r>
          <m:t>1.5</m:t>
        </m:r>
        <m:r>
          <m:t>,</m:t>
        </m:r>
        <m:r>
          <m:t>2</m:t>
        </m:r>
        <m:r>
          <m:t>}</m:t>
        </m:r>
      </m:oMath>
      <w:r>
        <w:t xml:space="preserve"> </w:t>
      </w:r>
      <w:r>
        <w:t xml:space="preserve">and</w:t>
      </w:r>
      <w:r>
        <w:t xml:space="preserve"> </w:t>
      </w:r>
      <m:oMath>
        <m:r>
          <m:t>η</m:t>
        </m:r>
        <m:r>
          <m:t>=</m:t>
        </m:r>
        <m:r>
          <m:t>{</m:t>
        </m:r>
        <m:r>
          <m:t>−</m:t>
        </m:r>
        <m:sSup>
          <m:e>
            <m:r>
              <m:t> </m:t>
            </m:r>
          </m:e>
          <m:sup>
            <m:r>
              <m:t>1</m:t>
            </m:r>
          </m:sup>
        </m:sSup>
        <m:sSub>
          <m:e>
            <m:r>
              <m:t>/</m:t>
            </m:r>
          </m:e>
          <m:sub>
            <m:r>
              <m:t>2</m:t>
            </m:r>
          </m:sub>
        </m:sSub>
        <m:r>
          <m:t>,</m:t>
        </m:r>
        <m:r>
          <m:t>0</m:t>
        </m:r>
        <m:r>
          <m:t>,</m:t>
        </m:r>
        <m:sSup>
          <m:e>
            <m:r>
              <m:t> </m:t>
            </m:r>
          </m:e>
          <m:sup>
            <m:r>
              <m:t>1</m:t>
            </m:r>
          </m:sup>
        </m:sSup>
        <m:sSub>
          <m:e>
            <m:r>
              <m:t>/</m:t>
            </m:r>
          </m:e>
          <m:sub>
            <m:r>
              <m:t>2</m:t>
            </m:r>
          </m:sub>
        </m:sSub>
        <m:r>
          <m:t>}</m:t>
        </m:r>
      </m:oMath>
      <w:r>
        <w:t xml:space="preserve">, that is the proportional hazard coefficients took the same values between -2 and 2, but</w:t>
      </w:r>
      <w:r>
        <w:t xml:space="preserve"> </w:t>
      </w:r>
      <m:oMath>
        <m:r>
          <m:t>β</m:t>
        </m:r>
      </m:oMath>
      <w:r>
        <w:t xml:space="preserve"> </w:t>
      </w:r>
      <w:r>
        <w:t xml:space="preserve">did not take the value of 0 because this would make a predictive model infeasible.</w:t>
      </w:r>
    </w:p>
    <w:p>
      <w:pPr>
        <w:pStyle w:val="BodyText"/>
      </w:pPr>
      <w:r>
        <w:t xml:space="preserve">For each combination of parameters, we generated</w:t>
      </w:r>
      <w:r>
        <w:t xml:space="preserve"> </w:t>
      </w:r>
      <m:oMath>
        <m:r>
          <m:t>N</m:t>
        </m:r>
        <m:r>
          <m:t>=</m:t>
        </m:r>
        <m:r>
          <m:t>100</m:t>
        </m:r>
      </m:oMath>
      <w:r>
        <w:t xml:space="preserve"> </w:t>
      </w:r>
      <w:r>
        <w:t xml:space="preserve">populations of</w:t>
      </w:r>
      <w:r>
        <w:t xml:space="preserve"> </w:t>
      </w:r>
      <m:oMath>
        <m:r>
          <m:t>n</m:t>
        </m:r>
        <m:r>
          <m:t>=</m:t>
        </m:r>
        <m:r>
          <m:t>10</m:t>
        </m:r>
        <m:r>
          <m:t>,</m:t>
        </m:r>
        <m:r>
          <m:t>000</m:t>
        </m:r>
      </m:oMath>
      <w:r>
        <w:t xml:space="preserve"> </w:t>
      </w:r>
      <w:r>
        <w:t xml:space="preserve">patients (a high number of patients was chosen to avoid bias due to a small population size) with a single covariate</w:t>
      </w:r>
      <w:r>
        <w:t xml:space="preserve"> </w:t>
      </w:r>
      <m:oMath>
        <m:r>
          <m:t>Z</m:t>
        </m:r>
        <m:r>
          <m:t>∼</m:t>
        </m:r>
        <m:r>
          <m:t>N</m:t>
        </m:r>
        <m:r>
          <m:t>(</m:t>
        </m:r>
        <m:r>
          <m:t>0</m:t>
        </m:r>
        <m:r>
          <m:t>,</m:t>
        </m:r>
        <m:r>
          <m:t>1</m:t>
        </m:r>
        <m:r>
          <m:t>)</m:t>
        </m:r>
      </m:oMath>
      <w:r>
        <w:t xml:space="preserve">. For each patient, we then generated a survival time,</w:t>
      </w:r>
      <w:r>
        <w:t xml:space="preserve"> </w:t>
      </w:r>
      <m:oMath>
        <m:r>
          <m:t>T</m:t>
        </m:r>
      </m:oMath>
      <w:r>
        <w:t xml:space="preserve"> </w:t>
      </w:r>
      <w:r>
        <w:t xml:space="preserve">and a censoring time,</w:t>
      </w:r>
      <w:r>
        <w:t xml:space="preserve"> </w:t>
      </w:r>
      <m:oMath>
        <m:r>
          <m:t>C</m:t>
        </m:r>
      </m:oMath>
      <w:r>
        <w:t xml:space="preserve">. Survival times were simulated with a baseline hazard</w:t>
      </w:r>
      <w:r>
        <w:t xml:space="preserve"> </w:t>
      </w:r>
      <m:oMath>
        <m:sSub>
          <m:e>
            <m:r>
              <m:t>λ</m:t>
            </m:r>
          </m:e>
          <m:sub>
            <m:r>
              <m:t>0</m:t>
            </m:r>
          </m:sub>
        </m:sSub>
        <m:r>
          <m:t>(</m:t>
        </m:r>
        <m:r>
          <m:t>t</m:t>
        </m:r>
        <m:r>
          <m:t>)</m:t>
        </m:r>
        <m:r>
          <m:t>=</m:t>
        </m:r>
        <m:sSup>
          <m:e>
            <m:r>
              <m:t>t</m:t>
            </m:r>
          </m:e>
          <m:sup>
            <m:r>
              <m:t>η</m:t>
            </m:r>
          </m:sup>
        </m:sSup>
      </m:oMath>
      <w:r>
        <w:t xml:space="preserve">, and a proportional hazard of</w:t>
      </w:r>
      <w:r>
        <w:t xml:space="preserve"> </w:t>
      </w:r>
      <m:oMath>
        <m:sSup>
          <m:e>
            <m:r>
              <m:t>e</m:t>
            </m:r>
          </m:e>
          <m:sup>
            <m:r>
              <m:t>β</m:t>
            </m:r>
            <m:r>
              <m:t>Z</m:t>
            </m:r>
          </m:sup>
        </m:sSup>
      </m:oMath>
      <w:r>
        <w:t xml:space="preserve">. This allows the simulation of a constant baseline hazard (</w:t>
      </w:r>
      <m:oMath>
        <m:r>
          <m:t>η</m:t>
        </m:r>
        <m:r>
          <m:t>=</m:t>
        </m:r>
        <m:r>
          <m:t>0</m:t>
        </m:r>
      </m:oMath>
      <w:r>
        <w:t xml:space="preserve">) as well as an increasing (</w:t>
      </w:r>
      <m:oMath>
        <m:r>
          <m:t>η</m:t>
        </m:r>
        <m:r>
          <m:t>=</m:t>
        </m:r>
        <m:sSup>
          <m:e>
            <m:r>
              <m:t> </m:t>
            </m:r>
          </m:e>
          <m:sup>
            <m:r>
              <m:t>1</m:t>
            </m:r>
          </m:sup>
        </m:sSup>
        <m:sSub>
          <m:e>
            <m:r>
              <m:t>/</m:t>
            </m:r>
          </m:e>
          <m:sub>
            <m:r>
              <m:t>2</m:t>
            </m:r>
          </m:sub>
        </m:sSub>
      </m:oMath>
      <w:r>
        <w:t xml:space="preserve">) and decreasing hazard function Censoring times were simulated with a constant baseline hazard,</w:t>
      </w:r>
      <w:r>
        <w:t xml:space="preserve"> </w:t>
      </w:r>
      <m:oMath>
        <m:sSub>
          <m:e>
            <m:r>
              <m:t>λ</m:t>
            </m:r>
          </m:e>
          <m:sub>
            <m:r>
              <m:t>C</m:t>
            </m:r>
            <m:r>
              <m:t>,</m:t>
            </m:r>
            <m:r>
              <m:t>0</m:t>
            </m:r>
          </m:sub>
        </m:sSub>
        <m:r>
          <m:t>(</m:t>
        </m:r>
        <m:r>
          <m:t>t</m:t>
        </m:r>
        <m:r>
          <m:t>)</m:t>
        </m:r>
        <m:r>
          <m:t>=</m:t>
        </m:r>
        <m:r>
          <m:t>1</m:t>
        </m:r>
      </m:oMath>
      <w:r>
        <w:t xml:space="preserve"> </w:t>
      </w:r>
      <w:r>
        <w:t xml:space="preserve">and a proportional hazard of</w:t>
      </w:r>
      <w:r>
        <w:t xml:space="preserve"> </w:t>
      </w:r>
      <m:oMath>
        <m:sSup>
          <m:e>
            <m:r>
              <m:t>e</m:t>
            </m:r>
          </m:e>
          <m:sup>
            <m:r>
              <m:t>γ</m:t>
            </m:r>
            <m:r>
              <m:t>Z</m:t>
            </m:r>
          </m:sup>
        </m:sSup>
      </m:oMath>
      <w:r>
        <w:t xml:space="preserve">.</w:t>
      </w:r>
    </w:p>
    <w:p>
      <w:pPr>
        <w:pStyle w:val="BodyText"/>
      </w:pPr>
      <w:r>
        <w:t xml:space="preserve">Once the survival and censoring times were generated, the event time,</w:t>
      </w:r>
      <w:r>
        <w:t xml:space="preserve"> </w:t>
      </w:r>
      <m:oMath>
        <m:r>
          <m:t>X</m:t>
        </m:r>
        <m:r>
          <m:t>=</m:t>
        </m:r>
        <m:r>
          <m:rPr>
            <m:nor/>
            <m:sty m:val="p"/>
          </m:rPr>
          <m:t>min</m:t>
        </m:r>
        <m:r>
          <m:t>(</m:t>
        </m:r>
        <m:r>
          <m:t>T</m:t>
        </m:r>
        <m:r>
          <m:t>,</m:t>
        </m:r>
        <m:r>
          <m:t>C</m:t>
        </m:r>
        <m:r>
          <m:t>)</m:t>
        </m:r>
      </m:oMath>
      <w:r>
        <w:t xml:space="preserve">, and the event indicator,</w:t>
      </w:r>
      <w:r>
        <w:t xml:space="preserve"> </w:t>
      </w:r>
      <m:oMath>
        <m:r>
          <m:t>δ</m:t>
        </m:r>
        <m:r>
          <m:t>=</m:t>
        </m:r>
        <m:r>
          <m:t>I</m:t>
        </m:r>
        <m:r>
          <m:t>(</m:t>
        </m:r>
        <m:r>
          <m:t>T</m:t>
        </m:r>
        <m:r>
          <m:t>=</m:t>
        </m:r>
        <m:r>
          <m:t>X</m:t>
        </m:r>
        <m:r>
          <m:t>)</m:t>
        </m:r>
      </m:oMath>
      <w:r>
        <w:t xml:space="preserve">, were generated. In the real-world, only</w:t>
      </w:r>
      <w:r>
        <w:t xml:space="preserve"> </w:t>
      </w:r>
      <m:oMath>
        <m:r>
          <m:t>Z</m:t>
        </m:r>
      </m:oMath>
      <w:r>
        <w:t xml:space="preserve">,</w:t>
      </w:r>
      <w:r>
        <w:t xml:space="preserve"> </w:t>
      </w:r>
      <m:oMath>
        <m:r>
          <m:t>X</m:t>
        </m:r>
      </m:oMath>
      <w:r>
        <w:t xml:space="preserve"> </w:t>
      </w:r>
      <w:r>
        <w:t xml:space="preserve">and</w:t>
      </w:r>
      <w:r>
        <w:t xml:space="preserve"> </w:t>
      </w:r>
      <m:oMath>
        <m:r>
          <m:t>δ</m:t>
        </m:r>
      </m:oMath>
      <w:r>
        <w:t xml:space="preserve"> </w:t>
      </w:r>
      <w:r>
        <w:t xml:space="preserve">would be observed.</w:t>
      </w:r>
    </w:p>
    <w:p>
      <w:pPr>
        <w:pStyle w:val="BodyText"/>
      </w:pPr>
      <w:r>
        <w:t xml:space="preserve">For each population, a prediction model for survival,</w:t>
      </w:r>
      <w:r>
        <w:t xml:space="preserve"> </w:t>
      </w:r>
      <m:oMath>
        <m:sSub>
          <m:e>
            <m:r>
              <m:t>F</m:t>
            </m:r>
          </m:e>
          <m:sub>
            <m:r>
              <m:t>P</m:t>
            </m:r>
          </m:sub>
        </m:sSub>
      </m:oMath>
      <w:r>
        <w:t xml:space="preserve"> </w:t>
      </w:r>
      <w:r>
        <w:t xml:space="preserve">was chosen to be identical to the Data Generating Mechanism (DGM) to emulate a perfectly calibrated model:</w:t>
      </w:r>
    </w:p>
    <w:p>
      <w:pPr>
        <w:pStyle w:val="BodyText"/>
      </w:pPr>
      <m:oMathPara>
        <m:oMathParaPr>
          <m:jc m:val="center"/>
        </m:oMathParaPr>
        <m:oMath>
          <m:m>
            <m:mPr>
              <m:baseJc m:val="center"/>
              <m:plcHide m:val="1"/>
              <m:mcs>
                <m:mc>
                  <m:mcPr>
                    <m:mcJc m:val="center"/>
                    <m:count m:val="1"/>
                  </m:mcPr>
                </m:mc>
              </m:mcs>
            </m:mPr>
            <m:mr>
              <m:e>
                <m:sSub>
                  <m:e>
                    <m:r>
                      <m:t>F</m:t>
                    </m:r>
                  </m:e>
                  <m:sub>
                    <m:r>
                      <m:t>P</m:t>
                    </m:r>
                  </m:sub>
                </m:sSub>
                <m:r>
                  <m:t>(</m:t>
                </m:r>
                <m:r>
                  <m:t>t</m:t>
                </m:r>
                <m:r>
                  <m:t>|</m:t>
                </m:r>
                <m:r>
                  <m:t>Z</m:t>
                </m:r>
                <m:r>
                  <m:t>=</m:t>
                </m:r>
                <m:r>
                  <m:t>z</m:t>
                </m:r>
                <m:r>
                  <m:t>)</m:t>
                </m:r>
                <m:r>
                  <m:t>=</m:t>
                </m:r>
                <m:r>
                  <m:t>1</m:t>
                </m:r>
                <m:r>
                  <m:t>−</m:t>
                </m:r>
                <m:r>
                  <m:rPr>
                    <m:nor/>
                    <m:sty m:val="p"/>
                  </m:rPr>
                  <m:t>exp</m:t>
                </m:r>
                <m:d>
                  <m:dPr>
                    <m:begChr m:val="("/>
                    <m:endChr m:val=")"/>
                    <m:grow/>
                  </m:dPr>
                  <m:e>
                    <m:r>
                      <m:t>−</m:t>
                    </m:r>
                    <m:f>
                      <m:fPr>
                        <m:type m:val="bar"/>
                      </m:fPr>
                      <m:num>
                        <m:sSup>
                          <m:e>
                            <m:r>
                              <m:t>e</m:t>
                            </m:r>
                          </m:e>
                          <m:sup>
                            <m:r>
                              <m:t>β</m:t>
                            </m:r>
                            <m:r>
                              <m:t>Z</m:t>
                            </m:r>
                          </m:sup>
                        </m:sSup>
                        <m:sSup>
                          <m:e>
                            <m:r>
                              <m:t>t</m:t>
                            </m:r>
                          </m:e>
                          <m:sup>
                            <m:r>
                              <m:t>η</m:t>
                            </m:r>
                            <m:r>
                              <m:t>+</m:t>
                            </m:r>
                            <m:r>
                              <m:t>1</m:t>
                            </m:r>
                          </m:sup>
                        </m:sSup>
                      </m:num>
                      <m:den>
                        <m:r>
                          <m:t>η</m:t>
                        </m:r>
                        <m:r>
                          <m:t>+</m:t>
                        </m:r>
                        <m:r>
                          <m:t>1</m:t>
                        </m:r>
                      </m:den>
                    </m:f>
                  </m:e>
                </m:d>
              </m:e>
            </m:mr>
          </m:m>
        </m:oMath>
      </m:oMathPara>
    </w:p>
    <w:p>
      <w:pPr>
        <w:pStyle w:val="FirstParagraph"/>
      </w:pPr>
      <w:r>
        <w:t xml:space="preserve">This prediction model was used to generate an estimate of the Expected probability that a given patient, with covariate</w:t>
      </w:r>
      <w:r>
        <w:t xml:space="preserve"> </w:t>
      </w:r>
      <m:oMath>
        <m:r>
          <m:t>z</m:t>
        </m:r>
      </m:oMath>
      <w:r>
        <w:t xml:space="preserve">, will have an event at the given time. To test the ability of approaches to detect miscalibration, we also derived a prediction model that would systematically over-estimate the prediction model,</w:t>
      </w:r>
      <w:r>
        <w:t xml:space="preserve"> </w:t>
      </w:r>
      <m:oMath>
        <m:sSub>
          <m:e>
            <m:r>
              <m:t>F</m:t>
            </m:r>
          </m:e>
          <m:sub>
            <m:r>
              <m:t>O</m:t>
            </m:r>
          </m:sub>
        </m:sSub>
      </m:oMath>
      <w:r>
        <w:t xml:space="preserve"> </w:t>
      </w:r>
      <w:r>
        <w:t xml:space="preserve">and one which would systematically under-estimate the prediction,</w:t>
      </w:r>
      <w:r>
        <w:t xml:space="preserve"> </w:t>
      </w:r>
      <m:oMath>
        <m:sSub>
          <m:e>
            <m:r>
              <m:t>F</m:t>
            </m:r>
          </m:e>
          <m:sub>
            <m:r>
              <m:t>U</m:t>
            </m:r>
          </m:sub>
        </m:sSub>
      </m:oMath>
      <w:r>
        <w:t xml:space="preserve">. These are defined as such:</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r>
                      <m:t>O</m:t>
                    </m:r>
                  </m:sub>
                </m:sSub>
                <m:r>
                  <m:t>(</m:t>
                </m:r>
                <m:r>
                  <m:t>t</m:t>
                </m:r>
                <m:r>
                  <m:t>|</m:t>
                </m:r>
                <m:r>
                  <m:t>Z</m:t>
                </m:r>
                <m:r>
                  <m:t>=</m:t>
                </m:r>
                <m:r>
                  <m:t>z</m:t>
                </m:r>
                <m:r>
                  <m:t>)</m:t>
                </m:r>
                <m:r>
                  <m:t>=</m:t>
                </m:r>
              </m:e>
              <m:e>
                <m:sSup>
                  <m:e>
                    <m:r>
                      <m:rPr>
                        <m:nor/>
                        <m:sty m:val="p"/>
                      </m:rPr>
                      <m:t>logit</m:t>
                    </m:r>
                  </m:e>
                  <m:sup>
                    <m:r>
                      <m:t>−</m:t>
                    </m:r>
                    <m:r>
                      <m:t>1</m:t>
                    </m:r>
                  </m:sup>
                </m:sSup>
                <m:d>
                  <m:dPr>
                    <m:begChr m:val="("/>
                    <m:endChr m:val=")"/>
                    <m:grow/>
                  </m:dPr>
                  <m:e>
                    <m:r>
                      <m:rPr>
                        <m:nor/>
                        <m:sty m:val="p"/>
                      </m:rPr>
                      <m:t>logit</m:t>
                    </m:r>
                    <m:d>
                      <m:dPr>
                        <m:begChr m:val="("/>
                        <m:endChr m:val=")"/>
                        <m:grow/>
                      </m:dPr>
                      <m:e>
                        <m:sSub>
                          <m:e>
                            <m:r>
                              <m:t>F</m:t>
                            </m:r>
                          </m:e>
                          <m:sub>
                            <m:r>
                              <m:t>P</m:t>
                            </m:r>
                          </m:sub>
                        </m:sSub>
                        <m:r>
                          <m:t>(</m:t>
                        </m:r>
                        <m:r>
                          <m:t>t</m:t>
                        </m:r>
                        <m:r>
                          <m:t>|</m:t>
                        </m:r>
                        <m:r>
                          <m:t>z</m:t>
                        </m:r>
                        <m:r>
                          <m:t>)</m:t>
                        </m:r>
                        <m:r>
                          <m:t>−</m:t>
                        </m:r>
                        <m:r>
                          <m:t>0.2</m:t>
                        </m:r>
                      </m:e>
                    </m:d>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r>
                      <m:t>O</m:t>
                    </m:r>
                  </m:sub>
                </m:sSub>
                <m:r>
                  <m:t>(</m:t>
                </m:r>
                <m:r>
                  <m:t>t</m:t>
                </m:r>
                <m:r>
                  <m:t>|</m:t>
                </m:r>
                <m:r>
                  <m:t>Z</m:t>
                </m:r>
                <m:r>
                  <m:t>=</m:t>
                </m:r>
                <m:r>
                  <m:t>z</m:t>
                </m:r>
                <m:r>
                  <m:t>)</m:t>
                </m:r>
                <m:r>
                  <m:t>=</m:t>
                </m:r>
              </m:e>
              <m:e>
                <m:sSup>
                  <m:e>
                    <m:r>
                      <m:rPr>
                        <m:nor/>
                        <m:sty m:val="p"/>
                      </m:rPr>
                      <m:t>logit</m:t>
                    </m:r>
                  </m:e>
                  <m:sup>
                    <m:r>
                      <m:t>−</m:t>
                    </m:r>
                    <m:r>
                      <m:t>1</m:t>
                    </m:r>
                  </m:sup>
                </m:sSup>
                <m:d>
                  <m:dPr>
                    <m:begChr m:val="("/>
                    <m:endChr m:val=")"/>
                    <m:grow/>
                  </m:dPr>
                  <m:e>
                    <m:r>
                      <m:rPr>
                        <m:nor/>
                        <m:sty m:val="p"/>
                      </m:rPr>
                      <m:t>logit</m:t>
                    </m:r>
                    <m:d>
                      <m:dPr>
                        <m:begChr m:val="("/>
                        <m:endChr m:val=")"/>
                        <m:grow/>
                      </m:dPr>
                      <m:e>
                        <m:sSub>
                          <m:e>
                            <m:r>
                              <m:t>F</m:t>
                            </m:r>
                          </m:e>
                          <m:sub>
                            <m:r>
                              <m:t>P</m:t>
                            </m:r>
                          </m:sub>
                        </m:sSub>
                        <m:r>
                          <m:t>(</m:t>
                        </m:r>
                        <m:r>
                          <m:t>t</m:t>
                        </m:r>
                        <m:r>
                          <m:t>|</m:t>
                        </m:r>
                        <m:r>
                          <m:t>z</m:t>
                        </m:r>
                        <m:r>
                          <m:t>)</m:t>
                        </m:r>
                        <m:r>
                          <m:t>+</m:t>
                        </m:r>
                        <m:r>
                          <m:t>0.2</m:t>
                        </m:r>
                      </m:e>
                    </m:d>
                  </m:e>
                </m:d>
              </m:e>
            </m:mr>
          </m:m>
        </m:oMath>
      </m:oMathPara>
    </w:p>
    <w:p>
      <w:pPr>
        <w:pStyle w:val="FirstParagraph"/>
      </w:pPr>
      <w:r>
        <w:t xml:space="preserve">The prediction models were assessed at 100 time points, evenly distributed between the 25th and 75th percentile of observed event times,</w:t>
      </w:r>
      <w:r>
        <w:t xml:space="preserve"> </w:t>
      </w:r>
      <m:oMath>
        <m:r>
          <m:t>X</m:t>
        </m:r>
      </m:oMath>
      <w:r>
        <w:t xml:space="preserve">. At each time point,</w:t>
      </w:r>
      <w:r>
        <w:t xml:space="preserve"> </w:t>
      </w:r>
      <m:oMath>
        <m:r>
          <m:t>t</m:t>
        </m:r>
      </m:oMath>
      <w:r>
        <w:t xml:space="preserve">, we removed patients who had been censored (i.e. </w:t>
      </w:r>
      <m:oMath>
        <m:r>
          <m:t>T</m:t>
        </m:r>
        <m:r>
          <m:t>&lt;</m:t>
        </m:r>
        <m:sSub>
          <m:e>
            <m:r>
              <m:t>X</m:t>
            </m:r>
          </m:e>
          <m:sub>
            <m:r>
              <m:t>i</m:t>
            </m:r>
          </m:sub>
        </m:sSub>
      </m:oMath>
      <w:r>
        <w:t xml:space="preserve"> </w:t>
      </w:r>
      <w:r>
        <w:t xml:space="preserve">&amp;</w:t>
      </w:r>
      <w:r>
        <w:t xml:space="preserve"> </w:t>
      </w:r>
      <m:oMath>
        <m:sSub>
          <m:e>
            <m:r>
              <m:t>δ</m:t>
            </m:r>
          </m:e>
          <m:sub>
            <m:r>
              <m:t>i</m:t>
            </m:r>
          </m:sub>
        </m:sSub>
        <m:r>
          <m:t>=</m:t>
        </m:r>
        <m:r>
          <m:t>0</m:t>
        </m:r>
      </m:oMath>
      <w:r>
        <w:t xml:space="preserve">)</w:t>
      </w:r>
      <w:r>
        <w:t xml:space="preserve"> </w:t>
      </w:r>
      <w:r>
        <w:t xml:space="preserve">and created an indicator variable for whether each patient had had the event yet or not:</w:t>
      </w:r>
    </w:p>
    <w:p>
      <w:pPr>
        <w:pStyle w:val="BodyText"/>
      </w:pPr>
      <m:oMathPara>
        <m:oMathParaPr>
          <m:jc m:val="center"/>
        </m:oMathParaPr>
        <m:oMath>
          <m:m>
            <m:mPr>
              <m:baseJc m:val="center"/>
              <m:plcHide m:val="1"/>
              <m:mcs>
                <m:mc>
                  <m:mcPr>
                    <m:mcJc m:val="center"/>
                    <m:count m:val="1"/>
                  </m:mcPr>
                </m:mc>
                <m:mc>
                  <m:mcPr>
                    <m:mcJc m:val="center"/>
                    <m:count m:val="1"/>
                  </m:mcPr>
                </m:mc>
              </m:mcs>
            </m:mPr>
            <m:mr>
              <m:e>
                <m:sSub>
                  <m:e>
                    <m:r>
                      <m:t>O</m:t>
                    </m:r>
                  </m:e>
                  <m:sub>
                    <m:r>
                      <m:t>i</m:t>
                    </m:r>
                  </m:sub>
                </m:sSub>
                <m:r>
                  <m:t>=</m:t>
                </m:r>
                <m:r>
                  <m:t>I</m:t>
                </m:r>
                <m:r>
                  <m:t>(</m:t>
                </m:r>
                <m:sSub>
                  <m:e>
                    <m:r>
                      <m:t>X</m:t>
                    </m:r>
                  </m:e>
                  <m:sub>
                    <m:r>
                      <m:t>i</m:t>
                    </m:r>
                  </m:sub>
                </m:sSub>
                <m:r>
                  <m:t>&lt;</m:t>
                </m:r>
                <m:r>
                  <m:t>t</m:t>
                </m:r>
              </m:e>
              <m:e>
                <m:sSub>
                  <m:e>
                    <m:r>
                      <m:t>δ</m:t>
                    </m:r>
                  </m:e>
                  <m:sub>
                    <m:r>
                      <m:t>i</m:t>
                    </m:r>
                  </m:sub>
                </m:sSub>
                <m:r>
                  <m:t>=</m:t>
                </m:r>
                <m:r>
                  <m:t>1</m:t>
                </m:r>
                <m:r>
                  <m:t>)</m:t>
                </m:r>
              </m:e>
            </m:mr>
          </m:m>
        </m:oMath>
      </m:oMathPara>
    </w:p>
    <w:p>
      <w:pPr>
        <w:pStyle w:val="FirstParagraph"/>
      </w:pPr>
      <w:r>
        <w:t xml:space="preserve">Similarly, we calculate a censoring prediction model,</w:t>
      </w:r>
      <w:r>
        <w:t xml:space="preserve"> </w:t>
      </w:r>
      <m:oMath>
        <m:r>
          <m:t>G</m:t>
        </m:r>
      </m:oMath>
      <w:r>
        <w:t xml:space="preserve">, to be identical to the DGM:</w:t>
      </w:r>
    </w:p>
    <w:p>
      <w:pPr>
        <w:pStyle w:val="BodyText"/>
      </w:pPr>
      <m:oMathPara>
        <m:oMathParaPr>
          <m:jc m:val="center"/>
        </m:oMathParaPr>
        <m:oMath>
          <m:m>
            <m:mPr>
              <m:baseJc m:val="center"/>
              <m:plcHide m:val="1"/>
              <m:mcs>
                <m:mc>
                  <m:mcPr>
                    <m:mcJc m:val="center"/>
                    <m:count m:val="1"/>
                  </m:mcPr>
                </m:mc>
              </m:mcs>
            </m:mPr>
            <m:mr>
              <m:e>
                <m:r>
                  <m:t>G</m:t>
                </m:r>
                <m:r>
                  <m:t>(</m:t>
                </m:r>
                <m:r>
                  <m:t>t</m:t>
                </m:r>
                <m:r>
                  <m:t>|</m:t>
                </m:r>
                <m:r>
                  <m:t>z</m:t>
                </m:r>
                <m:r>
                  <m:t>)</m:t>
                </m:r>
                <m:r>
                  <m:t>=</m:t>
                </m:r>
                <m:r>
                  <m:t>1</m:t>
                </m:r>
                <m:r>
                  <m:t>−</m:t>
                </m:r>
                <m:r>
                  <m:rPr>
                    <m:nor/>
                    <m:sty m:val="p"/>
                  </m:rPr>
                  <m:t>exp</m:t>
                </m:r>
                <m:d>
                  <m:dPr>
                    <m:begChr m:val="("/>
                    <m:endChr m:val=")"/>
                    <m:grow/>
                  </m:dPr>
                  <m:e>
                    <m:r>
                      <m:t>−</m:t>
                    </m:r>
                    <m:sSup>
                      <m:e>
                        <m:r>
                          <m:t>e</m:t>
                        </m:r>
                      </m:e>
                      <m:sup>
                        <m:r>
                          <m:t>γ</m:t>
                        </m:r>
                        <m:r>
                          <m:t>Z</m:t>
                        </m:r>
                      </m:sup>
                    </m:sSup>
                    <m:r>
                      <m:t>t</m:t>
                    </m:r>
                  </m:e>
                </m:d>
              </m:e>
            </m:mr>
          </m:m>
        </m:oMath>
      </m:oMathPara>
    </w:p>
    <w:p>
      <w:pPr>
        <w:pStyle w:val="FirstParagraph"/>
      </w:pPr>
      <w:r>
        <w:t xml:space="preserve">This is used to calculate an IPCW for all non-censored patients at the last time they were observed (</w:t>
      </w:r>
      <m:oMath>
        <m:r>
          <m:t>t</m:t>
        </m:r>
      </m:oMath>
      <w:r>
        <w:t xml:space="preserve"> </w:t>
      </w:r>
      <w:r>
        <w:t xml:space="preserve">for patients who have not had an event, and</w:t>
      </w:r>
      <w:r>
        <w:t xml:space="preserve"> </w:t>
      </w:r>
      <m:oMath>
        <m:sSub>
          <m:e>
            <m:r>
              <m:t>X</m:t>
            </m:r>
          </m:e>
          <m:sub>
            <m:r>
              <m:t>i</m:t>
            </m:r>
          </m:sub>
        </m:sSub>
      </m:oMath>
      <w:r>
        <w:t xml:space="preserve"> </w:t>
      </w:r>
      <w:r>
        <w:t xml:space="preserve">for patients who have had the event), This is defined as:</w:t>
      </w:r>
    </w:p>
    <w:p>
      <w:pPr>
        <w:pStyle w:val="BodyText"/>
      </w:pPr>
      <m:oMathPara>
        <m:oMathParaPr>
          <m:jc m:val="center"/>
        </m:oMathParaPr>
        <m:oMath>
          <m:m>
            <m:mPr>
              <m:baseJc m:val="center"/>
              <m:plcHide m:val="1"/>
              <m:mcs>
                <m:mc>
                  <m:mcPr>
                    <m:mcJc m:val="center"/>
                    <m:count m:val="1"/>
                  </m:mcPr>
                </m:mc>
              </m:mcs>
            </m:mPr>
            <m:mr>
              <m:e>
                <m:r>
                  <m:t>ω</m:t>
                </m:r>
                <m:r>
                  <m:t>(</m:t>
                </m:r>
                <m:r>
                  <m:t>t</m:t>
                </m:r>
                <m:r>
                  <m:t>|</m:t>
                </m:r>
                <m:r>
                  <m:t>z</m:t>
                </m:r>
                <m:r>
                  <m:t>)</m:t>
                </m:r>
                <m:r>
                  <m:t>=</m:t>
                </m:r>
                <m:d>
                  <m:dPr>
                    <m:begChr m:val="{"/>
                    <m:endChr m:val=""/>
                    <m:grow/>
                  </m:dPr>
                  <m:e>
                    <m:m>
                      <m:mPr>
                        <m:baseJc m:val="center"/>
                        <m:plcHide m:val="1"/>
                        <m:mcs>
                          <m:mc>
                            <m:mcPr>
                              <m:mcJc m:val="left"/>
                              <m:count m:val="1"/>
                            </m:mcPr>
                          </m:mc>
                          <m:mc>
                            <m:mcPr>
                              <m:mcJc m:val="left"/>
                              <m:count m:val="1"/>
                            </m:mcPr>
                          </m:mc>
                        </m:mcs>
                      </m:mPr>
                      <m:mr>
                        <m:e>
                          <m:f>
                            <m:fPr>
                              <m:type m:val="bar"/>
                            </m:fPr>
                            <m:num>
                              <m:r>
                                <m:t>1</m:t>
                              </m:r>
                            </m:num>
                            <m:den>
                              <m:r>
                                <m:t>1</m:t>
                              </m:r>
                              <m:r>
                                <m:t>−</m:t>
                              </m:r>
                              <m:r>
                                <m:t>G</m:t>
                              </m:r>
                              <m:r>
                                <m:t>(</m:t>
                              </m:r>
                              <m:sSub>
                                <m:e>
                                  <m:r>
                                    <m:t>X</m:t>
                                  </m:r>
                                </m:e>
                                <m:sub>
                                  <m:r>
                                    <m:t>i</m:t>
                                  </m:r>
                                </m:sub>
                              </m:sSub>
                              <m:r>
                                <m:t>|</m:t>
                              </m:r>
                              <m:r>
                                <m:t>z</m:t>
                              </m:r>
                              <m:r>
                                <m:t>)</m:t>
                              </m:r>
                            </m:den>
                          </m:f>
                        </m:e>
                        <m:e>
                          <m:sSub>
                            <m:e>
                              <m:r>
                                <m:t>O</m:t>
                              </m:r>
                            </m:e>
                            <m:sub>
                              <m:r>
                                <m:t>i</m:t>
                              </m:r>
                            </m:sub>
                          </m:sSub>
                          <m:r>
                            <m:t>=</m:t>
                          </m:r>
                          <m:r>
                            <m:rPr>
                              <m:nor/>
                              <m:sty m:val="p"/>
                            </m:rPr>
                            <m:t>TRUE</m:t>
                          </m:r>
                        </m:e>
                      </m:mr>
                      <m:mr>
                        <m:e>
                          <m:f>
                            <m:fPr>
                              <m:type m:val="bar"/>
                            </m:fPr>
                            <m:num>
                              <m:r>
                                <m:t>1</m:t>
                              </m:r>
                            </m:num>
                            <m:den>
                              <m:r>
                                <m:t>1</m:t>
                              </m:r>
                              <m:r>
                                <m:t>−</m:t>
                              </m:r>
                              <m:r>
                                <m:t>G</m:t>
                              </m:r>
                              <m:r>
                                <m:t>(</m:t>
                              </m:r>
                              <m:r>
                                <m:t>t</m:t>
                              </m:r>
                              <m:r>
                                <m:t>|</m:t>
                              </m:r>
                              <m:r>
                                <m:t>z</m:t>
                              </m:r>
                              <m:r>
                                <m:t>)</m:t>
                              </m:r>
                            </m:den>
                          </m:f>
                        </m:e>
                        <m:e>
                          <m:sSub>
                            <m:e>
                              <m:r>
                                <m:t>O</m:t>
                              </m:r>
                            </m:e>
                            <m:sub>
                              <m:r>
                                <m:t>i</m:t>
                              </m:r>
                            </m:sub>
                          </m:sSub>
                          <m:r>
                            <m:t>=</m:t>
                          </m:r>
                          <m:r>
                            <m:rPr>
                              <m:nor/>
                              <m:sty m:val="p"/>
                            </m:rPr>
                            <m:t>FALSE</m:t>
                          </m:r>
                        </m:e>
                      </m:mr>
                    </m:m>
                  </m:e>
                </m:d>
              </m:e>
            </m:mr>
          </m:m>
        </m:oMath>
      </m:oMathPara>
    </w:p>
    <w:p>
      <w:pPr>
        <w:pStyle w:val="Heading2"/>
      </w:pPr>
      <w:bookmarkStart w:id="25" w:name="methods-1"/>
      <w:r>
        <w:t xml:space="preserve">Methods</w:t>
      </w:r>
      <w:bookmarkEnd w:id="25"/>
    </w:p>
    <w:p>
      <w:pPr>
        <w:pStyle w:val="FirstParagraph"/>
      </w:pPr>
      <w:r>
        <w:t xml:space="preserve">At each of these time points, we compare Observed outcomes (</w:t>
      </w:r>
      <m:oMath>
        <m:r>
          <m:t>O</m:t>
        </m:r>
      </m:oMath>
      <w:r>
        <w:t xml:space="preserve">) with the Expected outcomes (</w:t>
      </w:r>
      <m:oMath>
        <m:r>
          <m:t>E</m:t>
        </m:r>
      </m:oMath>
      <w:r>
        <w:t xml:space="preserve">) of the prediction models based on four choices of methodology</w:t>
      </w:r>
      <w:r>
        <w:t xml:space="preserve"> </w:t>
      </w:r>
      <w:r>
        <w:t xml:space="preserve">[3], [6], [8], [15]</w:t>
      </w:r>
      <w:r>
        <w:t xml:space="preserve"> </w:t>
      </w:r>
      <w:r>
        <w:t xml:space="preserve">to produce measures for the calibration-in-the-large</w:t>
      </w:r>
    </w:p>
    <w:p>
      <w:pPr>
        <w:numPr>
          <w:ilvl w:val="0"/>
          <w:numId w:val="1001"/>
        </w:numPr>
      </w:pPr>
      <w:r>
        <w:t xml:space="preserve">Kaplan-Meier - A Kaplan-Meier estimate of survival is estimated from the data and the value of the K-M cuve at the current time is taken to be the average Observed number of events within the population and this is compared with the average Expected value.</w:t>
      </w:r>
    </w:p>
    <w:p>
      <w:pPr>
        <w:numPr>
          <w:ilvl w:val="0"/>
          <w:numId w:val="1001"/>
        </w:numPr>
      </w:pPr>
      <w:r>
        <w:t xml:space="preserve">Pseudo-Observations - [</w:t>
      </w:r>
      <w:r>
        <w:rPr>
          <w:b/>
        </w:rPr>
        <w:t xml:space="preserve">Blah blah</w:t>
      </w:r>
      <w:r>
        <w:t xml:space="preserve">]</w:t>
      </w:r>
    </w:p>
    <w:p>
      <w:pPr>
        <w:numPr>
          <w:ilvl w:val="0"/>
          <w:numId w:val="1001"/>
        </w:numPr>
      </w:pPr>
      <w:r>
        <w:t xml:space="preserve">Logistic Unweighted - Logistic regression is performed on the non-censored population to predict the binary Observed value using the logit(Expected) value as an offset and the Intercept of the regression is the estimate.</w:t>
      </w:r>
    </w:p>
    <w:p>
      <w:pPr>
        <w:numPr>
          <w:ilvl w:val="0"/>
          <w:numId w:val="1001"/>
        </w:numPr>
      </w:pPr>
      <w:r>
        <w:t xml:space="preserve">Logistic Weighted - As above, but the logistic regression is performed using the IPCW as a weighting for each non-censored patient.</w:t>
      </w:r>
    </w:p>
    <w:p>
      <w:pPr>
        <w:pStyle w:val="Heading2"/>
      </w:pPr>
      <w:bookmarkStart w:id="26" w:name="estimands"/>
      <w:r>
        <w:t xml:space="preserve">Estimands</w:t>
      </w:r>
      <w:bookmarkEnd w:id="26"/>
    </w:p>
    <w:p>
      <w:pPr>
        <w:pStyle w:val="FirstParagraph"/>
      </w:pPr>
      <w:r>
        <w:t xml:space="preserve">The above methods all produce measures of model calibration…</w:t>
      </w:r>
    </w:p>
    <w:p>
      <w:pPr>
        <w:pStyle w:val="BodyText"/>
      </w:pPr>
      <w:r>
        <w:t xml:space="preserve">For each set of parameters and methodology, our estimand at time,</w:t>
      </w:r>
      <w:r>
        <w:t xml:space="preserve"> </w:t>
      </w:r>
      <m:oMath>
        <m:r>
          <m:t>t</m:t>
        </m:r>
      </m:oMath>
      <w:r>
        <w:t xml:space="preserve">, measured in simulation</w:t>
      </w:r>
      <w:r>
        <w:t xml:space="preserve"> </w:t>
      </w:r>
      <m:oMath>
        <m:r>
          <m:t>i</m:t>
        </m:r>
        <m:r>
          <m:t>=</m:t>
        </m:r>
        <m:r>
          <m:t>1</m:t>
        </m:r>
        <m:r>
          <m:t>,</m:t>
        </m:r>
        <m:r>
          <m:t>.</m:t>
        </m:r>
        <m:r>
          <m:t>.</m:t>
        </m:r>
        <m:r>
          <m:t>.</m:t>
        </m:r>
        <m:r>
          <m:t>,</m:t>
        </m:r>
        <m:r>
          <m:t>N</m:t>
        </m:r>
      </m:oMath>
      <w:r>
        <w:t xml:space="preserve"> </w:t>
      </w:r>
      <w:r>
        <w:t xml:space="preserve">is</w:t>
      </w:r>
      <w:r>
        <w:t xml:space="preserve"> </w:t>
      </w:r>
      <m:oMath>
        <m:sSub>
          <m:e>
            <m:r>
              <m:t>θ</m:t>
            </m:r>
          </m:e>
          <m:sub>
            <m:r>
              <m:t>i</m:t>
            </m:r>
          </m:sub>
        </m:sSub>
        <m:r>
          <m:t>(</m:t>
        </m:r>
        <m:r>
          <m:t>t</m:t>
        </m:r>
        <m:r>
          <m:t>)</m:t>
        </m:r>
      </m:oMath>
      <w:r>
        <w:t xml:space="preserve">, the set of estimates of the calibration-in-the-large for the</w:t>
      </w:r>
      <w:r>
        <w:t xml:space="preserve"> </w:t>
      </w:r>
      <m:oMath>
        <m:sSub>
          <m:e>
            <m:r>
              <m:t>F</m:t>
            </m:r>
          </m:e>
          <m:sub>
            <m:r>
              <m:t>P</m:t>
            </m:r>
          </m:sub>
        </m:sSub>
      </m:oMath>
      <w:r>
        <w:t xml:space="preserve">,</w:t>
      </w:r>
      <w:r>
        <w:t xml:space="preserve"> </w:t>
      </w:r>
      <m:oMath>
        <m:sSub>
          <m:e>
            <m:r>
              <m:t>F</m:t>
            </m:r>
          </m:e>
          <m:sub>
            <m:r>
              <m:t>U</m:t>
            </m:r>
          </m:sub>
        </m:sSub>
      </m:oMath>
      <w:r>
        <w:t xml:space="preserve"> </w:t>
      </w:r>
      <w:r>
        <w:t xml:space="preserve">and</w:t>
      </w:r>
      <w:r>
        <w:t xml:space="preserve"> </w:t>
      </w:r>
      <m:oMath>
        <m:sSub>
          <m:e>
            <m:r>
              <m:t>F</m:t>
            </m:r>
          </m:e>
          <m:sub>
            <m:r>
              <m:t>O</m:t>
            </m:r>
          </m:sub>
        </m:sSub>
      </m:oMath>
      <w:r>
        <w:t xml:space="preserve"> </w:t>
      </w:r>
      <w:r>
        <w:t xml:space="preserve">models in order. Therefore our underlying truth for all time points is</w:t>
      </w:r>
    </w:p>
    <w:p>
      <w:pPr>
        <w:pStyle w:val="BodyText"/>
      </w:pPr>
      <m:oMathPara>
        <m:oMathParaPr>
          <m:jc m:val="center"/>
        </m:oMathParaPr>
        <m:oMath>
          <m:m>
            <m:mPr>
              <m:baseJc m:val="center"/>
              <m:plcHide m:val="1"/>
              <m:mcs>
                <m:mc>
                  <m:mcPr>
                    <m:mcJc m:val="center"/>
                    <m:count m:val="1"/>
                  </m:mcPr>
                </m:mc>
              </m:mcs>
            </m:mPr>
            <m:mr>
              <m:e>
                <m:r>
                  <m:t>θ</m:t>
                </m:r>
                <m:r>
                  <m:t>=</m:t>
                </m:r>
                <m:d>
                  <m:dPr>
                    <m:begChr m:val="("/>
                    <m:endChr m:val=")"/>
                    <m:grow/>
                  </m:dPr>
                  <m:e>
                    <m:r>
                      <m:t>0</m:t>
                    </m:r>
                    <m:r>
                      <m:t>,</m:t>
                    </m:r>
                    <m:r>
                      <m:t>0.1</m:t>
                    </m:r>
                    <m:r>
                      <m:t>,</m:t>
                    </m:r>
                    <m:r>
                      <m:t>−</m:t>
                    </m:r>
                    <m:r>
                      <m:t>0.1</m:t>
                    </m:r>
                  </m:e>
                </m:d>
              </m:e>
            </m:mr>
          </m:m>
        </m:oMath>
      </m:oMathPara>
    </w:p>
    <w:p>
      <w:pPr>
        <w:pStyle w:val="FirstParagraph"/>
      </w:pPr>
      <w:r>
        <w:t xml:space="preserve">From this, we can also define our upper and lower bound for a 95% confidence interval as the vectors</w:t>
      </w:r>
      <w:r>
        <w:t xml:space="preserve"> </w:t>
      </w:r>
      <m:oMath>
        <m:sSub>
          <m:e>
            <m:r>
              <m:t>θ</m:t>
            </m:r>
          </m:e>
          <m:sub>
            <m:r>
              <m:t>i</m:t>
            </m:r>
            <m:r>
              <m:t>,</m:t>
            </m:r>
            <m:r>
              <m:t>L</m:t>
            </m:r>
          </m:sub>
        </m:sSub>
        <m:r>
          <m:t>(</m:t>
        </m:r>
        <m:r>
          <m:t>t</m:t>
        </m:r>
        <m:r>
          <m:t>)</m:t>
        </m:r>
      </m:oMath>
      <w:r>
        <w:t xml:space="preserve"> </w:t>
      </w:r>
      <w:r>
        <w:t xml:space="preserve">and</w:t>
      </w:r>
      <w:r>
        <w:t xml:space="preserve"> </w:t>
      </w:r>
      <m:oMath>
        <m:sSub>
          <m:e>
            <m:r>
              <m:t>θ</m:t>
            </m:r>
          </m:e>
          <m:sub>
            <m:r>
              <m:t>i</m:t>
            </m:r>
            <m:r>
              <m:t>,</m:t>
            </m:r>
            <m:r>
              <m:t>U</m:t>
            </m:r>
          </m:sub>
        </m:sSub>
        <m:r>
          <m:t>(</m:t>
        </m:r>
        <m:r>
          <m:t>t</m:t>
        </m:r>
        <m:r>
          <m:t>)</m:t>
        </m:r>
      </m:oMath>
      <w:r>
        <w:t xml:space="preserve">.</w:t>
      </w:r>
    </w:p>
    <w:p>
      <w:pPr>
        <w:pStyle w:val="Heading2"/>
      </w:pPr>
      <w:bookmarkStart w:id="27" w:name="performance-measures"/>
      <w:r>
        <w:t xml:space="preserve">Performance Measures</w:t>
      </w:r>
      <w:bookmarkEnd w:id="27"/>
    </w:p>
    <w:p>
      <w:pPr>
        <w:pStyle w:val="FirstParagraph"/>
      </w:pPr>
      <w:r>
        <w:t xml:space="preserve">The measures we will take as performance measures as the Bias, the Empirical Standard Error as the Coverage at time,</w:t>
      </w:r>
      <w:r>
        <w:t xml:space="preserve"> </w:t>
      </w:r>
      <m:oMath>
        <m:r>
          <m:t>t</m:t>
        </m:r>
      </m:oMath>
      <w:r>
        <w:t xml:space="preserve">, along with relevant standard errors and confidence intervals as per current recommendations</w:t>
      </w:r>
      <w:r>
        <w:t xml:space="preserve"> </w:t>
      </w:r>
      <w:r>
        <w:t xml:space="preserve">[16]</w:t>
      </w:r>
    </w:p>
    <w:p>
      <w:pPr>
        <w:pStyle w:val="BodyText"/>
      </w:pPr>
      <w:r>
        <w:t xml:space="preserve">[</w:t>
      </w:r>
      <w:r>
        <w:rPr>
          <w:b/>
        </w:rPr>
        <w:t xml:space="preserve">Insert table of Performance Measures</w:t>
      </w:r>
      <w:r>
        <w:t xml:space="preserve">]</w:t>
      </w:r>
    </w:p>
    <w:p>
      <w:pPr>
        <w:pStyle w:val="BodyText"/>
      </w:pPr>
      <w:r>
        <w:t xml:space="preserve">As these measures will be taken at each of the 100 time points,</w:t>
      </w:r>
      <w:r>
        <w:t xml:space="preserve"> </w:t>
      </w:r>
      <m:oMath>
        <m:sSub>
          <m:e>
            <m:r>
              <m:t>t</m:t>
            </m:r>
          </m:e>
          <m:sub>
            <m:r>
              <m:t>j</m:t>
            </m:r>
          </m:sub>
        </m:sSub>
        <m:r>
          <m:t>:</m:t>
        </m:r>
        <m:r>
          <m:t>j</m:t>
        </m:r>
        <m:r>
          <m:t>=</m:t>
        </m:r>
        <m:r>
          <m:t>1</m:t>
        </m:r>
        <m:r>
          <m:t>.</m:t>
        </m:r>
        <m:r>
          <m:t>.</m:t>
        </m:r>
        <m:r>
          <m:t>.100</m:t>
        </m:r>
      </m:oMath>
      <w:r>
        <w:t xml:space="preserve">, we summarise each of these measures over time as an average and as weighted average. The weight used for the measure at time</w:t>
      </w:r>
      <w:r>
        <w:t xml:space="preserve"> </w:t>
      </w:r>
      <m:oMath>
        <m:sSub>
          <m:e>
            <m:r>
              <m:t>t</m:t>
            </m:r>
          </m:e>
          <m:sub>
            <m:r>
              <m:t>k</m:t>
            </m:r>
          </m:sub>
        </m:sSub>
      </m:oMath>
      <w:r>
        <w:t xml:space="preserve"> </w:t>
      </w:r>
      <w:r>
        <w:t xml:space="preserve">is the average number of non-censored patients remaining in the population at time</w:t>
      </w:r>
      <w:r>
        <w:t xml:space="preserve"> </w:t>
      </w:r>
      <m:oMath>
        <m:sSub>
          <m:e>
            <m:r>
              <m:t>t</m:t>
            </m:r>
          </m:e>
          <m:sub>
            <m:r>
              <m:t>j</m:t>
            </m:r>
          </m:sub>
        </m:sSub>
      </m:oMath>
      <w:r>
        <w:t xml:space="preserve">, defined as</w:t>
      </w:r>
      <w:r>
        <w:t xml:space="preserve"> </w:t>
      </w:r>
      <m:oMath>
        <m:sSub>
          <m:e>
            <m:r>
              <m:t>n</m:t>
            </m:r>
          </m:e>
          <m:sub>
            <m:r>
              <m:t>j</m:t>
            </m:r>
          </m:sub>
        </m:sSub>
      </m:oMath>
      <w:r>
        <w:t xml:space="preserve"> </w:t>
      </w:r>
      <w:r>
        <w:t xml:space="preserve">(note that this includes patients who have had the event). For ech estimand above,</w:t>
      </w:r>
      <w:r>
        <w:t xml:space="preserve"> </w:t>
      </w:r>
      <m:oMath>
        <m:acc>
          <m:accPr>
            <m:chr m:val="̂"/>
          </m:accPr>
          <m:e>
            <m:r>
              <m:t>Q</m:t>
            </m:r>
          </m:e>
        </m:acc>
        <m:r>
          <m:t>(</m:t>
        </m:r>
        <m:r>
          <m:t>t</m:t>
        </m:r>
        <m:r>
          <m:t>)</m:t>
        </m:r>
        <m:r>
          <m:t>=</m:t>
        </m:r>
        <m:r>
          <m:t>{</m:t>
        </m:r>
        <m:acc>
          <m:accPr>
            <m:chr m:val="̂"/>
          </m:accPr>
          <m:e>
            <m:r>
              <m:t>θ</m:t>
            </m:r>
          </m:e>
        </m:acc>
        <m:r>
          <m:t>(</m:t>
        </m:r>
        <m:r>
          <m:t>t</m:t>
        </m:r>
        <m:r>
          <m:t>)</m:t>
        </m:r>
        <m:r>
          <m:t>,</m:t>
        </m:r>
        <m:acc>
          <m:accPr>
            <m:chr m:val="̂"/>
          </m:accPr>
          <m:e>
            <m:r>
              <m:t>E</m:t>
            </m:r>
          </m:e>
        </m:acc>
        <m:r>
          <m:t>(</m:t>
        </m:r>
        <m:r>
          <m:t>t</m:t>
        </m:r>
        <m:r>
          <m:t>)</m:t>
        </m:r>
        <m:r>
          <m:t>,</m:t>
        </m:r>
        <m:acc>
          <m:accPr>
            <m:chr m:val="̂"/>
          </m:accPr>
          <m:e>
            <m:r>
              <m:t>C</m:t>
            </m:r>
          </m:e>
        </m:acc>
        <m:r>
          <m:t>(</m:t>
        </m:r>
        <m:r>
          <m:t>t</m:t>
        </m:r>
        <m:r>
          <m:t>)</m:t>
        </m:r>
        <m:r>
          <m:t>}</m:t>
        </m:r>
      </m:oMath>
      <w:r>
        <w:t xml:space="preserve"> </w:t>
      </w:r>
      <w:r>
        <w:t xml:space="preserve">and associated SE,</w:t>
      </w:r>
      <w:r>
        <w:t xml:space="preserve"> </w:t>
      </w:r>
      <m:oMath>
        <m:sSub>
          <m:e>
            <m:acc>
              <m:accPr>
                <m:chr m:val="̂"/>
              </m:accPr>
              <m:e>
                <m:r>
                  <m:t>Q</m:t>
                </m:r>
              </m:e>
            </m:acc>
          </m:e>
          <m:sub>
            <m:r>
              <m:rPr>
                <m:nor/>
                <m:sty m:val="p"/>
              </m:rPr>
              <m:t>SE</m:t>
            </m:r>
          </m:sub>
        </m:sSub>
        <m:r>
          <m:t>(</m:t>
        </m:r>
        <m:r>
          <m:t>t</m:t>
        </m:r>
        <m:r>
          <m:t>)</m:t>
        </m:r>
        <m:r>
          <m:t>=</m:t>
        </m:r>
        <m:r>
          <m:t>{</m:t>
        </m:r>
        <m:sSub>
          <m:e>
            <m:acc>
              <m:accPr>
                <m:chr m:val="̂"/>
              </m:accPr>
              <m:e>
                <m:r>
                  <m:t>θ</m:t>
                </m:r>
              </m:e>
            </m:acc>
          </m:e>
          <m:sub>
            <m:r>
              <m:rPr>
                <m:nor/>
                <m:sty m:val="p"/>
              </m:rPr>
              <m:t>SE</m:t>
            </m:r>
          </m:sub>
        </m:sSub>
        <m:r>
          <m:t>(</m:t>
        </m:r>
        <m:r>
          <m:t>t</m:t>
        </m:r>
        <m:r>
          <m:t>)</m:t>
        </m:r>
        <m:r>
          <m:t>,</m:t>
        </m:r>
        <m:sSub>
          <m:e>
            <m:acc>
              <m:accPr>
                <m:chr m:val="̂"/>
              </m:accPr>
              <m:e>
                <m:r>
                  <m:t>E</m:t>
                </m:r>
              </m:e>
            </m:acc>
          </m:e>
          <m:sub>
            <m:r>
              <m:rPr>
                <m:nor/>
                <m:sty m:val="p"/>
              </m:rPr>
              <m:t>SE</m:t>
            </m:r>
          </m:sub>
        </m:sSub>
        <m:r>
          <m:t>(</m:t>
        </m:r>
        <m:r>
          <m:t>t</m:t>
        </m:r>
        <m:r>
          <m:t>)</m:t>
        </m:r>
        <m:r>
          <m:t>,</m:t>
        </m:r>
        <m:sSub>
          <m:e>
            <m:acc>
              <m:accPr>
                <m:chr m:val="̂"/>
              </m:accPr>
              <m:e>
                <m:r>
                  <m:t>C</m:t>
                </m:r>
              </m:e>
            </m:acc>
          </m:e>
          <m:sub>
            <m:r>
              <m:rPr>
                <m:nor/>
                <m:sty m:val="p"/>
              </m:rPr>
              <m:t>SE</m:t>
            </m:r>
          </m:sub>
        </m:sSub>
        <m:r>
          <m:t>(</m:t>
        </m:r>
        <m:r>
          <m:t>t</m:t>
        </m:r>
        <m:r>
          <m:t>)</m:t>
        </m:r>
        <m:r>
          <m:t>}</m:t>
        </m:r>
      </m:oMath>
    </w:p>
    <w:p>
      <w:pPr>
        <w:pStyle w:val="BodyText"/>
      </w:pPr>
      <w:r>
        <w:t xml:space="preserve">[</w:t>
      </w:r>
      <w:r>
        <w:rPr>
          <w:b/>
        </w:rPr>
        <w:t xml:space="preserve">Insert table of time average Performance Measures</w:t>
      </w:r>
      <w:r>
        <w:t xml:space="preserve">]</w:t>
      </w:r>
    </w:p>
    <w:p>
      <w:pPr>
        <w:pStyle w:val="Heading1"/>
      </w:pPr>
      <w:bookmarkStart w:id="28" w:name="results"/>
      <w:r>
        <w:t xml:space="preserve">Results</w:t>
      </w:r>
      <w:bookmarkEnd w:id="28"/>
    </w:p>
    <w:p>
      <w:pPr>
        <w:pStyle w:val="Heading1"/>
      </w:pPr>
      <w:bookmarkStart w:id="29" w:name="discussion"/>
      <w:r>
        <w:t xml:space="preserve">Discussion</w:t>
      </w:r>
      <w:bookmarkEnd w:id="29"/>
    </w:p>
    <w:p>
      <w:pPr>
        <w:pStyle w:val="FirstParagraph"/>
      </w:pPr>
      <w:r>
        <w:t xml:space="preserve">Weighting = Good.</w:t>
      </w:r>
    </w:p>
    <w:p>
      <w:pPr>
        <w:pStyle w:val="BodyText"/>
      </w:pPr>
      <w:r>
        <w:t xml:space="preserve">Not Weighting = Bad.</w:t>
      </w:r>
    </w:p>
    <w:p>
      <w:pPr>
        <w:pStyle w:val="Heading1"/>
      </w:pPr>
      <w:bookmarkStart w:id="30" w:name="references"/>
      <w:r>
        <w:t xml:space="preserve">References</w:t>
      </w:r>
      <w:bookmarkEnd w:id="30"/>
    </w:p>
    <w:bookmarkStart w:id="61" w:name="refs"/>
    <w:bookmarkStart w:id="31" w:name="ref-steyerberg_clinical_2008"/>
    <w:p>
      <w:pPr>
        <w:pStyle w:val="Bibliography"/>
      </w:pPr>
      <w:r>
        <w:t xml:space="preserve">[1] E. W. Steyerberg,</w:t>
      </w:r>
      <w:r>
        <w:t xml:space="preserve"> </w:t>
      </w:r>
      <w:r>
        <w:rPr>
          <w:i/>
        </w:rPr>
        <w:t xml:space="preserve">Clinical Prediction Models: A Practical Approach to Development, Validation, and Updating</w:t>
      </w:r>
      <w:r>
        <w:t xml:space="preserve">. Springer Science &amp; Business Media, 2008.</w:t>
      </w:r>
    </w:p>
    <w:bookmarkEnd w:id="31"/>
    <w:bookmarkStart w:id="33" w:name="ref-calster_calibration_2016-1"/>
    <w:p>
      <w:pPr>
        <w:pStyle w:val="Bibliography"/>
      </w:pPr>
      <w:r>
        <w:t xml:space="preserve">[2] B. V. Calster, D. Nieboer, Y. Vergouwe, B. D. Cock, M. J. Pencina, and E. W. Steyerberg, “A calibration hierarchy for risk models was defined: From utopia to empirical data,”</w:t>
      </w:r>
      <w:r>
        <w:t xml:space="preserve"> </w:t>
      </w:r>
      <w:r>
        <w:rPr>
          <w:i/>
        </w:rPr>
        <w:t xml:space="preserve">Journal of Clinical Epidemiology</w:t>
      </w:r>
      <w:r>
        <w:t xml:space="preserve">, vol. 74, pp. 167–176, Jun. 2016, doi:</w:t>
      </w:r>
      <w:r>
        <w:t xml:space="preserve"> </w:t>
      </w:r>
      <w:hyperlink r:id="rId32">
        <w:r>
          <w:rPr>
            <w:rStyle w:val="Hyperlink"/>
          </w:rPr>
          <w:t xml:space="preserve">10.1016/j.jclinepi.2015.12.005</w:t>
        </w:r>
      </w:hyperlink>
      <w:r>
        <w:t xml:space="preserve">.</w:t>
      </w:r>
    </w:p>
    <w:bookmarkEnd w:id="33"/>
    <w:bookmarkStart w:id="35" w:name="ref-royston_external_2013"/>
    <w:p>
      <w:pPr>
        <w:pStyle w:val="Bibliography"/>
      </w:pPr>
      <w:r>
        <w:t xml:space="preserve">[3] P. Royston and D. G. Altman, “External validation of a Cox prognostic model: Principles and methods,”</w:t>
      </w:r>
      <w:r>
        <w:t xml:space="preserve"> </w:t>
      </w:r>
      <w:r>
        <w:rPr>
          <w:i/>
        </w:rPr>
        <w:t xml:space="preserve">BMC Medical Research Methodology</w:t>
      </w:r>
      <w:r>
        <w:t xml:space="preserve">, vol. 13, no. 1, p. 33, Mar. 2013, doi:</w:t>
      </w:r>
      <w:r>
        <w:t xml:space="preserve"> </w:t>
      </w:r>
      <w:hyperlink r:id="rId34">
        <w:r>
          <w:rPr>
            <w:rStyle w:val="Hyperlink"/>
          </w:rPr>
          <w:t xml:space="preserve">10.1186/1471-2288-13-33</w:t>
        </w:r>
      </w:hyperlink>
      <w:r>
        <w:t xml:space="preserve">.</w:t>
      </w:r>
    </w:p>
    <w:bookmarkEnd w:id="35"/>
    <w:bookmarkStart w:id="37" w:name="ref-houwelingen_validation_2000"/>
    <w:p>
      <w:pPr>
        <w:pStyle w:val="Bibliography"/>
      </w:pPr>
      <w:r>
        <w:t xml:space="preserve">[4] H. C. van Houwelingen, “Validation, calibration, revision and combination of prognostic survival models,”</w:t>
      </w:r>
      <w:r>
        <w:t xml:space="preserve"> </w:t>
      </w:r>
      <w:r>
        <w:rPr>
          <w:i/>
        </w:rPr>
        <w:t xml:space="preserve">Statistics in Medicine</w:t>
      </w:r>
      <w:r>
        <w:t xml:space="preserve">, vol. 19, no. 24, pp. 3401–3415, 2000, doi:</w:t>
      </w:r>
      <w:r>
        <w:t xml:space="preserve"> </w:t>
      </w:r>
      <w:hyperlink r:id="rId36">
        <w:r>
          <w:rPr>
            <w:rStyle w:val="Hyperlink"/>
          </w:rPr>
          <w:t xml:space="preserve">10.1002/1097-0258(20001230)19:24&lt;3401::AID-SIM554&gt;3.0.CO;2-2</w:t>
        </w:r>
      </w:hyperlink>
      <w:r>
        <w:t xml:space="preserve">.</w:t>
      </w:r>
    </w:p>
    <w:bookmarkEnd w:id="37"/>
    <w:bookmarkStart w:id="39" w:name="ref-hippisley-cox_derivation_2007"/>
    <w:p>
      <w:pPr>
        <w:pStyle w:val="Bibliography"/>
      </w:pPr>
      <w:r>
        <w:t xml:space="preserve">[5] J. Hippisley-Cox, C. Coupland, Y. Vinogradova, J. Robson, M. May, and P. Brindle, “Derivation and validation of QRISK, a new cardiovascular disease risk score for the United Kingdom: Prospective open cohort study,”</w:t>
      </w:r>
      <w:r>
        <w:t xml:space="preserve"> </w:t>
      </w:r>
      <w:r>
        <w:rPr>
          <w:i/>
        </w:rPr>
        <w:t xml:space="preserve">BMJ (Clinical research ed.)</w:t>
      </w:r>
      <w:r>
        <w:t xml:space="preserve">, vol. 335, no. 7611, p. 136, Jul. 2007, doi:</w:t>
      </w:r>
      <w:r>
        <w:t xml:space="preserve"> </w:t>
      </w:r>
      <w:hyperlink r:id="rId38">
        <w:r>
          <w:rPr>
            <w:rStyle w:val="Hyperlink"/>
          </w:rPr>
          <w:t xml:space="preserve">10.1136/bmj.39261.471806.55</w:t>
        </w:r>
      </w:hyperlink>
      <w:r>
        <w:t xml:space="preserve">.</w:t>
      </w:r>
    </w:p>
    <w:bookmarkEnd w:id="39"/>
    <w:bookmarkStart w:id="41" w:name="ref-royston_tools_2014"/>
    <w:p>
      <w:pPr>
        <w:pStyle w:val="Bibliography"/>
      </w:pPr>
      <w:r>
        <w:t xml:space="preserve">[6] P. Royston, “Tools for Checking Calibration of a Cox Model in External Validation: Approach Based on Individual Event Probabilities:”</w:t>
      </w:r>
      <w:r>
        <w:t xml:space="preserve"> </w:t>
      </w:r>
      <w:r>
        <w:rPr>
          <w:i/>
        </w:rPr>
        <w:t xml:space="preserve">The Stata Journal</w:t>
      </w:r>
      <w:r>
        <w:t xml:space="preserve">, Dec. 2014, doi:</w:t>
      </w:r>
      <w:r>
        <w:t xml:space="preserve"> </w:t>
      </w:r>
      <w:hyperlink r:id="rId40">
        <w:r>
          <w:rPr>
            <w:rStyle w:val="Hyperlink"/>
          </w:rPr>
          <w:t xml:space="preserve">10.1177/1536867X1401400403</w:t>
        </w:r>
      </w:hyperlink>
      <w:r>
        <w:t xml:space="preserve">.</w:t>
      </w:r>
    </w:p>
    <w:bookmarkEnd w:id="41"/>
    <w:bookmarkStart w:id="43" w:name="ref-perme_checking_2008"/>
    <w:p>
      <w:pPr>
        <w:pStyle w:val="Bibliography"/>
      </w:pPr>
      <w:r>
        <w:t xml:space="preserve">[7] M. P. Perme and P. K. Andersen, “Checking hazard regression models using pseudo-observations,”</w:t>
      </w:r>
      <w:r>
        <w:t xml:space="preserve"> </w:t>
      </w:r>
      <w:r>
        <w:rPr>
          <w:i/>
        </w:rPr>
        <w:t xml:space="preserve">Statistics in medicine</w:t>
      </w:r>
      <w:r>
        <w:t xml:space="preserve">, vol. 27, no. 25, pp. 5309–5328, Nov. 2008, doi:</w:t>
      </w:r>
      <w:r>
        <w:t xml:space="preserve"> </w:t>
      </w:r>
      <w:hyperlink r:id="rId42">
        <w:r>
          <w:rPr>
            <w:rStyle w:val="Hyperlink"/>
          </w:rPr>
          <w:t xml:space="preserve">10.1002/sim.3401</w:t>
        </w:r>
      </w:hyperlink>
      <w:r>
        <w:t xml:space="preserve">.</w:t>
      </w:r>
    </w:p>
    <w:bookmarkEnd w:id="43"/>
    <w:bookmarkStart w:id="45" w:name="ref-royston_tools_2015"/>
    <w:p>
      <w:pPr>
        <w:pStyle w:val="Bibliography"/>
      </w:pPr>
      <w:r>
        <w:t xml:space="preserve">[8] P. Royston, “Tools for Checking Calibration of a Cox Model in External Validation: Prediction of Population-Averaged Survival Curves Based on Risk Groups,”</w:t>
      </w:r>
      <w:r>
        <w:t xml:space="preserve"> </w:t>
      </w:r>
      <w:r>
        <w:rPr>
          <w:i/>
        </w:rPr>
        <w:t xml:space="preserve">The Stata Journal</w:t>
      </w:r>
      <w:r>
        <w:t xml:space="preserve">, vol. 15, no. 1, pp. 275–291, Apr. 2015, doi:</w:t>
      </w:r>
      <w:r>
        <w:t xml:space="preserve"> </w:t>
      </w:r>
      <w:hyperlink r:id="rId44">
        <w:r>
          <w:rPr>
            <w:rStyle w:val="Hyperlink"/>
          </w:rPr>
          <w:t xml:space="preserve">10.1177/1536867X1501500116</w:t>
        </w:r>
      </w:hyperlink>
      <w:r>
        <w:t xml:space="preserve">.</w:t>
      </w:r>
    </w:p>
    <w:bookmarkEnd w:id="45"/>
    <w:bookmarkStart w:id="47" w:name="ref-hippisley-cox_development_2017"/>
    <w:p>
      <w:pPr>
        <w:pStyle w:val="Bibliography"/>
      </w:pPr>
      <w:r>
        <w:t xml:space="preserve">[9]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46">
        <w:r>
          <w:rPr>
            <w:rStyle w:val="Hyperlink"/>
          </w:rPr>
          <w:t xml:space="preserve">10.1136/bmj.j2099</w:t>
        </w:r>
      </w:hyperlink>
      <w:r>
        <w:t xml:space="preserve">.</w:t>
      </w:r>
    </w:p>
    <w:bookmarkEnd w:id="47"/>
    <w:bookmarkStart w:id="49" w:name="ref-gerds_consistent_2006"/>
    <w:p>
      <w:pPr>
        <w:pStyle w:val="Bibliography"/>
      </w:pPr>
      <w:r>
        <w:t xml:space="preserve">[10] T. A. Gerds and M. Schumacher, “Consistent Estimation of the Expected Brier Score in General Survival Models with Right-Censored Event Times,”</w:t>
      </w:r>
      <w:r>
        <w:t xml:space="preserve"> </w:t>
      </w:r>
      <w:r>
        <w:rPr>
          <w:i/>
        </w:rPr>
        <w:t xml:space="preserve">Biometrical Journal</w:t>
      </w:r>
      <w:r>
        <w:t xml:space="preserve">, vol. 48, no. 6, pp. 1029–1040, 2006, doi:</w:t>
      </w:r>
      <w:r>
        <w:t xml:space="preserve"> </w:t>
      </w:r>
      <w:hyperlink r:id="rId48">
        <w:r>
          <w:rPr>
            <w:rStyle w:val="Hyperlink"/>
          </w:rPr>
          <w:t xml:space="preserve">10.1002/bimj.200610301</w:t>
        </w:r>
      </w:hyperlink>
      <w:r>
        <w:t xml:space="preserve">.</w:t>
      </w:r>
    </w:p>
    <w:bookmarkEnd w:id="49"/>
    <w:bookmarkStart w:id="51" w:name="ref-spitoni_prediction_2018"/>
    <w:p>
      <w:pPr>
        <w:pStyle w:val="Bibliography"/>
      </w:pPr>
      <w:r>
        <w:t xml:space="preserve">[11] C. Spitoni, V. Lammens, and H. Putter, “Prediction errors for state occupation and transition probabilities in multi-state models,”</w:t>
      </w:r>
      <w:r>
        <w:t xml:space="preserve"> </w:t>
      </w:r>
      <w:r>
        <w:rPr>
          <w:i/>
        </w:rPr>
        <w:t xml:space="preserve">Biometrical Journal. Biometrische Zeitschrift</w:t>
      </w:r>
      <w:r>
        <w:t xml:space="preserve">, vol. 60, no. 1, pp. 34–48, Jan. 2018, doi:</w:t>
      </w:r>
      <w:r>
        <w:t xml:space="preserve"> </w:t>
      </w:r>
      <w:hyperlink r:id="rId50">
        <w:r>
          <w:rPr>
            <w:rStyle w:val="Hyperlink"/>
          </w:rPr>
          <w:t xml:space="preserve">10.1002/bimj.201600191</w:t>
        </w:r>
      </w:hyperlink>
      <w:r>
        <w:t xml:space="preserve">.</w:t>
      </w:r>
    </w:p>
    <w:bookmarkEnd w:id="51"/>
    <w:bookmarkStart w:id="53" w:name="ref-han_comparing_2017"/>
    <w:p>
      <w:pPr>
        <w:pStyle w:val="Bibliography"/>
      </w:pPr>
      <w:r>
        <w:t xml:space="preserve">[12] X. Han, Y. Zhang, and Y. Shao, “On comparing two correlated C indices with censored survival data,”</w:t>
      </w:r>
      <w:r>
        <w:t xml:space="preserve"> </w:t>
      </w:r>
      <w:r>
        <w:rPr>
          <w:i/>
        </w:rPr>
        <w:t xml:space="preserve">Statistics in medicine</w:t>
      </w:r>
      <w:r>
        <w:t xml:space="preserve">, vol. 36, no. 25, pp. 4041–4049, Nov. 2017, doi:</w:t>
      </w:r>
      <w:r>
        <w:t xml:space="preserve"> </w:t>
      </w:r>
      <w:hyperlink r:id="rId52">
        <w:r>
          <w:rPr>
            <w:rStyle w:val="Hyperlink"/>
          </w:rPr>
          <w:t xml:space="preserve">10.1002/sim.7414</w:t>
        </w:r>
      </w:hyperlink>
      <w:r>
        <w:t xml:space="preserve">.</w:t>
      </w:r>
    </w:p>
    <w:bookmarkEnd w:id="53"/>
    <w:bookmarkStart w:id="55" w:name="ref-liu_comparing_2016"/>
    <w:p>
      <w:pPr>
        <w:pStyle w:val="Bibliography"/>
      </w:pPr>
      <w:r>
        <w:t xml:space="preserve">[13] X. Liu, Z. Jin, and J. H. Graziano, “Comparing paired biomarkers in predicting quantitative health outcome subject to random censoring,”</w:t>
      </w:r>
      <w:r>
        <w:t xml:space="preserve"> </w:t>
      </w:r>
      <w:r>
        <w:rPr>
          <w:i/>
        </w:rPr>
        <w:t xml:space="preserve">Statistical methods in medical research</w:t>
      </w:r>
      <w:r>
        <w:t xml:space="preserve">, vol. 25, no. 1, pp. 447–457, Feb. 2016, doi:</w:t>
      </w:r>
      <w:r>
        <w:t xml:space="preserve"> </w:t>
      </w:r>
      <w:hyperlink r:id="rId54">
        <w:r>
          <w:rPr>
            <w:rStyle w:val="Hyperlink"/>
          </w:rPr>
          <w:t xml:space="preserve">10.1177/0962280212460434</w:t>
        </w:r>
      </w:hyperlink>
      <w:r>
        <w:t xml:space="preserve">.</w:t>
      </w:r>
    </w:p>
    <w:bookmarkEnd w:id="55"/>
    <w:bookmarkStart w:id="57" w:name="ref-burton_design_2006"/>
    <w:p>
      <w:pPr>
        <w:pStyle w:val="Bibliography"/>
      </w:pPr>
      <w:r>
        <w:t xml:space="preserve">[14] A. Burton, D. G. Altman, P. Royston, and R. L. Holder, “The design of simulation studies in medical statistics,”</w:t>
      </w:r>
      <w:r>
        <w:t xml:space="preserve"> </w:t>
      </w:r>
      <w:r>
        <w:rPr>
          <w:i/>
        </w:rPr>
        <w:t xml:space="preserve">Statistics in Medicine</w:t>
      </w:r>
      <w:r>
        <w:t xml:space="preserve">, vol. 25, no. 24, pp. 4279–4292, Dec. 2006, doi:</w:t>
      </w:r>
      <w:r>
        <w:t xml:space="preserve"> </w:t>
      </w:r>
      <w:hyperlink r:id="rId56">
        <w:r>
          <w:rPr>
            <w:rStyle w:val="Hyperlink"/>
          </w:rPr>
          <w:t xml:space="preserve">10.1002/sim.2673</w:t>
        </w:r>
      </w:hyperlink>
      <w:r>
        <w:t xml:space="preserve">.</w:t>
      </w:r>
    </w:p>
    <w:bookmarkEnd w:id="57"/>
    <w:bookmarkStart w:id="58" w:name="ref-riley_prognosis_2019"/>
    <w:p>
      <w:pPr>
        <w:pStyle w:val="Bibliography"/>
      </w:pPr>
      <w:r>
        <w:t xml:space="preserve">[15] R. D. Riley, D. van der Windt, P. Croft, and K. G. M. Moons,</w:t>
      </w:r>
      <w:r>
        <w:t xml:space="preserve"> </w:t>
      </w:r>
      <w:r>
        <w:rPr>
          <w:i/>
        </w:rPr>
        <w:t xml:space="preserve">Prognosis Research in Healthcare: Concepts, Methods, and Impact</w:t>
      </w:r>
      <w:r>
        <w:t xml:space="preserve">, First. Oxford University Press, 2019.</w:t>
      </w:r>
    </w:p>
    <w:bookmarkEnd w:id="58"/>
    <w:bookmarkStart w:id="60" w:name="ref-morris_using_2019"/>
    <w:p>
      <w:pPr>
        <w:pStyle w:val="Bibliography"/>
      </w:pPr>
      <w:r>
        <w:t xml:space="preserve">[16] T. P. Morris, I. R. White, and M. J. Crowther, “Using simulation studies to evaluate statistical methods,”</w:t>
      </w:r>
      <w:r>
        <w:t xml:space="preserve"> </w:t>
      </w:r>
      <w:r>
        <w:rPr>
          <w:i/>
        </w:rPr>
        <w:t xml:space="preserve">Statistics in Medicine</w:t>
      </w:r>
      <w:r>
        <w:t xml:space="preserve">, vol. 38, no. 11, pp. 2074–2102, 2019, doi:</w:t>
      </w:r>
      <w:r>
        <w:t xml:space="preserve"> </w:t>
      </w:r>
      <w:hyperlink r:id="rId59">
        <w:r>
          <w:rPr>
            <w:rStyle w:val="Hyperlink"/>
          </w:rPr>
          <w:t xml:space="preserve">10.1002/sim.8086</w:t>
        </w:r>
      </w:hyperlink>
      <w:r>
        <w:t xml:space="preserve">.</w:t>
      </w:r>
    </w:p>
    <w:bookmarkEnd w:id="60"/>
    <w:bookmarkEnd w:id="61"/>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02/1097-0258(20001230)19:24%3C3401::AID-SIM554%3E3.0.CO;2-2" TargetMode="External" /><Relationship Type="http://schemas.openxmlformats.org/officeDocument/2006/relationships/hyperlink" Id="rId48" Target="https://doi.org/10.1002/bimj.200610301" TargetMode="External" /><Relationship Type="http://schemas.openxmlformats.org/officeDocument/2006/relationships/hyperlink" Id="rId50" Target="https://doi.org/10.1002/bimj.201600191" TargetMode="External" /><Relationship Type="http://schemas.openxmlformats.org/officeDocument/2006/relationships/hyperlink" Id="rId56" Target="https://doi.org/10.1002/sim.2673" TargetMode="External" /><Relationship Type="http://schemas.openxmlformats.org/officeDocument/2006/relationships/hyperlink" Id="rId42" Target="https://doi.org/10.1002/sim.3401" TargetMode="External" /><Relationship Type="http://schemas.openxmlformats.org/officeDocument/2006/relationships/hyperlink" Id="rId52" Target="https://doi.org/10.1002/sim.7414" TargetMode="External" /><Relationship Type="http://schemas.openxmlformats.org/officeDocument/2006/relationships/hyperlink" Id="rId59" Target="https://doi.org/10.1002/sim.8086" TargetMode="External" /><Relationship Type="http://schemas.openxmlformats.org/officeDocument/2006/relationships/hyperlink" Id="rId32" Target="https://doi.org/10.1016/j.jclinepi.2015.12.005" TargetMode="External" /><Relationship Type="http://schemas.openxmlformats.org/officeDocument/2006/relationships/hyperlink" Id="rId38" Target="https://doi.org/10.1136/bmj.39261.471806.55" TargetMode="External" /><Relationship Type="http://schemas.openxmlformats.org/officeDocument/2006/relationships/hyperlink" Id="rId46" Target="https://doi.org/10.1136/bmj.j2099" TargetMode="External" /><Relationship Type="http://schemas.openxmlformats.org/officeDocument/2006/relationships/hyperlink" Id="rId54" Target="https://doi.org/10.1177/0962280212460434" TargetMode="External" /><Relationship Type="http://schemas.openxmlformats.org/officeDocument/2006/relationships/hyperlink" Id="rId40" Target="https://doi.org/10.1177/1536867X1401400403" TargetMode="External" /><Relationship Type="http://schemas.openxmlformats.org/officeDocument/2006/relationships/hyperlink" Id="rId44" Target="https://doi.org/10.1177/1536867X1501500116" TargetMode="External" /><Relationship Type="http://schemas.openxmlformats.org/officeDocument/2006/relationships/hyperlink" Id="rId34" Target="https://doi.org/10.1186/1471-2288-13-33"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02/1097-0258(20001230)19:24%3C3401::AID-SIM554%3E3.0.CO;2-2" TargetMode="External" /><Relationship Type="http://schemas.openxmlformats.org/officeDocument/2006/relationships/hyperlink" Id="rId48" Target="https://doi.org/10.1002/bimj.200610301" TargetMode="External" /><Relationship Type="http://schemas.openxmlformats.org/officeDocument/2006/relationships/hyperlink" Id="rId50" Target="https://doi.org/10.1002/bimj.201600191" TargetMode="External" /><Relationship Type="http://schemas.openxmlformats.org/officeDocument/2006/relationships/hyperlink" Id="rId56" Target="https://doi.org/10.1002/sim.2673" TargetMode="External" /><Relationship Type="http://schemas.openxmlformats.org/officeDocument/2006/relationships/hyperlink" Id="rId42" Target="https://doi.org/10.1002/sim.3401" TargetMode="External" /><Relationship Type="http://schemas.openxmlformats.org/officeDocument/2006/relationships/hyperlink" Id="rId52" Target="https://doi.org/10.1002/sim.7414" TargetMode="External" /><Relationship Type="http://schemas.openxmlformats.org/officeDocument/2006/relationships/hyperlink" Id="rId59" Target="https://doi.org/10.1002/sim.8086" TargetMode="External" /><Relationship Type="http://schemas.openxmlformats.org/officeDocument/2006/relationships/hyperlink" Id="rId32" Target="https://doi.org/10.1016/j.jclinepi.2015.12.005" TargetMode="External" /><Relationship Type="http://schemas.openxmlformats.org/officeDocument/2006/relationships/hyperlink" Id="rId38" Target="https://doi.org/10.1136/bmj.39261.471806.55" TargetMode="External" /><Relationship Type="http://schemas.openxmlformats.org/officeDocument/2006/relationships/hyperlink" Id="rId46" Target="https://doi.org/10.1136/bmj.j2099" TargetMode="External" /><Relationship Type="http://schemas.openxmlformats.org/officeDocument/2006/relationships/hyperlink" Id="rId54" Target="https://doi.org/10.1177/0962280212460434" TargetMode="External" /><Relationship Type="http://schemas.openxmlformats.org/officeDocument/2006/relationships/hyperlink" Id="rId40" Target="https://doi.org/10.1177/1536867X1401400403" TargetMode="External" /><Relationship Type="http://schemas.openxmlformats.org/officeDocument/2006/relationships/hyperlink" Id="rId44" Target="https://doi.org/10.1177/1536867X1501500116" TargetMode="External" /><Relationship Type="http://schemas.openxmlformats.org/officeDocument/2006/relationships/hyperlink" Id="rId34" Target="https://doi.org/10.1186/1471-2288-1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Inverse Probability Weighting Adjustment of the Logistic Regression Calibration-in-the-Large</dc:title>
  <dc:creator/>
  <cp:keywords/>
  <dcterms:created xsi:type="dcterms:W3CDTF">2020-03-21T21:36:18Z</dcterms:created>
  <dcterms:modified xsi:type="dcterms:W3CDTF">2020-03-21T21:36:18Z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