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t xml:space="preserve">[1]</w:t>
      </w:r>
      <w:r>
        <w:t xml:space="preserve"> </w:t>
      </w:r>
      <w:r>
        <w:t xml:space="preserve">with around 63 thousand adult patients registered for RRT in 2015</w:t>
      </w:r>
      <w:r>
        <w:t xml:space="preserve"> </w:t>
      </w:r>
      <w:r>
        <w:t xml:space="preserve">[2]</w:t>
      </w:r>
      <w:r>
        <w:t xml:space="preserve">, of which 8 thousand were new patients</w:t>
      </w:r>
      <w:r>
        <w:t xml:space="preserve"> </w:t>
      </w:r>
      <w:r>
        <w:t xml:space="preserve">[3]</w:t>
      </w:r>
      <w:r>
        <w:t xml:space="preserve">.</w:t>
      </w:r>
    </w:p>
    <w:p>
      <w:pPr>
        <w:pStyle w:val="BodyText"/>
      </w:pPr>
      <w:r>
        <w:t xml:space="preserve">Previous prognostic models have been developed to predict mortality</w:t>
      </w:r>
      <w:r>
        <w:t xml:space="preserve"> </w:t>
      </w:r>
      <w:r>
        <w:t xml:space="preserve">[4]–[8]</w:t>
      </w:r>
      <w:r>
        <w:t xml:space="preserve">, ESRD</w:t>
      </w:r>
      <w:r>
        <w:t xml:space="preserve"> </w:t>
      </w:r>
      <w:r>
        <w:t xml:space="preserve">[5]</w:t>
      </w:r>
      <w:r>
        <w:t xml:space="preserve">, the commencements of RRT</w:t>
      </w:r>
      <w:r>
        <w:t xml:space="preserve"> </w:t>
      </w:r>
      <w:r>
        <w:t xml:space="preserve">[7], [9]–[11]</w:t>
      </w:r>
      <w:r>
        <w:t xml:space="preserve"> </w:t>
      </w:r>
      <w:r>
        <w:t xml:space="preserve">or mortality after beginning dialysis</w:t>
      </w:r>
      <w:r>
        <w:t xml:space="preserve"> </w:t>
      </w:r>
      <w:r>
        <w:t xml:space="preserve">[12]–[14]</w:t>
      </w:r>
      <w:r>
        <w:t xml:space="preserve">. Some previous models have used the commencement of RRT as a proxy for ESRD</w:t>
      </w:r>
      <w:r>
        <w:t xml:space="preserve"> </w:t>
      </w:r>
      <w:r>
        <w:t xml:space="preserve">[15]–[17]</w:t>
      </w:r>
      <w:r>
        <w:t xml:space="preserve">, while others have investigated the occurrence of cardiovascular events, which are common amongst CKD patients</w:t>
      </w:r>
      <w:r>
        <w:t xml:space="preserve">[18]–[20]</w:t>
      </w:r>
      <w:r>
        <w:t xml:space="preserve">. Reviews by Grams &amp; Coresh</w:t>
      </w:r>
      <w:r>
        <w:t xml:space="preserve"> </w:t>
      </w:r>
      <w:r>
        <w:t xml:space="preserve">[21]</w:t>
      </w:r>
      <w:r>
        <w:t xml:space="preserve">, Tangri et al</w:t>
      </w:r>
      <w:r>
        <w:t xml:space="preserve"> </w:t>
      </w:r>
      <w:r>
        <w:t xml:space="preserve">[22]</w:t>
      </w:r>
      <w:r>
        <w:t xml:space="preserve"> </w:t>
      </w:r>
      <w:r>
        <w:t xml:space="preserve">and Ramspek et al</w:t>
      </w:r>
      <w:r>
        <w:t xml:space="preserve"> </w:t>
      </w:r>
      <w:r>
        <w:t xml:space="preserve">[23]</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[24], [25]</w:t>
      </w:r>
      <w:r>
        <w:t xml:space="preserve">. Methodologically, the majority of existing CKD prediction models fail to account for completing events</w:t>
      </w:r>
      <w:r>
        <w:t xml:space="preserve"> </w:t>
      </w:r>
      <w:r>
        <w:t xml:space="preserve">[6], [8], [26]</w:t>
      </w:r>
      <w:r>
        <w:t xml:space="preserve">, have high risks of bias</w:t>
      </w:r>
      <w:r>
        <w:t xml:space="preserve"> </w:t>
      </w:r>
      <w:r>
        <w:t xml:space="preserve">[4], [5], [9]</w:t>
      </w:r>
      <w:r>
        <w:t xml:space="preserve"> </w:t>
      </w:r>
      <w:r>
        <w:t xml:space="preserve">or are otherwise flawed compared to modern clinical prediction standards</w:t>
      </w:r>
      <w:r>
        <w:t xml:space="preserve"> </w:t>
      </w:r>
      <w:r>
        <w:t xml:space="preserve">[24], [27]</w:t>
      </w:r>
      <w:r>
        <w:t xml:space="preserve">.</w:t>
      </w:r>
    </w:p>
    <w:p>
      <w:pPr>
        <w:pStyle w:val="BodyText"/>
      </w:pPr>
      <w:r>
        <w:t xml:space="preserve">In 2013, Begun et al</w:t>
      </w:r>
      <w:r>
        <w:t xml:space="preserve"> </w:t>
      </w:r>
      <w:r>
        <w:t xml:space="preserve">[28]</w:t>
      </w:r>
      <w:r>
        <w:t xml:space="preserve"> </w:t>
      </w:r>
      <w:r>
        <w:t xml:space="preserve">developed a Multi-State Clinical Model for assessing patient progression through the severity stages of CKD (III-V), RRT and/or death. In 2014, Allen et al</w:t>
      </w:r>
      <w:r>
        <w:t xml:space="preserve"> </w:t>
      </w:r>
      <w:r>
        <w:t xml:space="preserve">[29]</w:t>
      </w:r>
      <w:r>
        <w:t xml:space="preserve"> </w:t>
      </w:r>
      <w:r>
        <w:t xml:space="preserve">focused a similar model on liver transplant patients. In 2017, Kulkarni et al</w:t>
      </w:r>
      <w:r>
        <w:t xml:space="preserve"> </w:t>
      </w:r>
      <w:r>
        <w:t xml:space="preserve">[11]</w:t>
      </w:r>
      <w:r>
        <w:t xml:space="preserve"> </w:t>
      </w:r>
      <w:r>
        <w:t xml:space="preserve">developed an MSM focusing on the categories of Calculated Panel Reactive Antibodies and transplant and/or death.</w:t>
      </w:r>
    </w:p>
    <w:p>
      <w:pPr>
        <w:pStyle w:val="BodyText"/>
      </w:pPr>
      <w:r>
        <w:t xml:space="preserve">Most recently, in 2018, Grams et al</w:t>
      </w:r>
      <w:r>
        <w:t xml:space="preserve"> </w:t>
      </w:r>
      <w:r>
        <w:t xml:space="preserve">[30]</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[31]–[49]</w:t>
      </w:r>
      <w:r>
        <w:t xml:space="preserve">. These kinds of cut-offs can be useful when informing patients and clinicians of a patient’s diagnosis and to coincide with policy, but inherently cause a loss information when done before the data analysis stage and so these models go against the current statistical recommendations (cite). These kinds of assumptions are also subject to measurement error and interval censoring (cite), i.e. we do not know when exactly when a patient moved from CKD Stage III to CKD Stage IV, or whether drop in estimated Glomerular Function Rate (eGFR) was temporary or inaccurate. For example, Kulkarni</w:t>
      </w:r>
      <w:r>
        <w:t xml:space="preserve"> </w:t>
      </w:r>
      <w:r>
        <w:t xml:space="preserve">[11]</w:t>
      </w:r>
      <w:r>
        <w:t xml:space="preserve"> </w:t>
      </w:r>
      <w:r>
        <w:t xml:space="preserve">assumes that a patient with an CPRA of (5%) is the same as a patient with an CPRA of (75%) and that a patient with an CPRA of (89.9%) is vastly different from a patient with an CPRA of (90%). Moreover, none of these papers have undergone any validation process, whether internal or external</w:t>
      </w:r>
      <w:r>
        <w:t xml:space="preserve"> </w:t>
      </w:r>
      <w:r>
        <w:t xml:space="preserve">[50]</w:t>
      </w:r>
      <w:r>
        <w:t xml:space="preserve">.</w:t>
      </w:r>
    </w:p>
    <w:p>
      <w:pPr>
        <w:pStyle w:val="BodyText"/>
      </w:pP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[51]</w:t>
      </w:r>
      <w:r>
        <w:t xml:space="preserve">.</w:t>
      </w:r>
    </w:p>
    <w:p>
      <w:pPr>
        <w:pStyle w:val="BodyText"/>
      </w:pPr>
      <w:r>
        <w:t xml:space="preserve">The fourth model (Grams et al</w:t>
      </w:r>
      <w:r>
        <w:t xml:space="preserve"> </w:t>
      </w:r>
      <w:r>
        <w:t xml:space="preserve">[21]</w:t>
      </w:r>
      <w:r>
        <w:t xml:space="preserve">),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patient’s pathways through a Multi-State Model by choosing transition points which can be exactly identified and include states which produce a drastic difference in patient characteristics. We also model using extensions to traditional survival analysis to incorporate heterogeneity within the population as much as possible and to allow for the prediction of patient outcomes at any future time point (within the time-scales of the study). The models produced by this process will then be validated, both internally and externally, to compare their results and demonstrate the transportability of the (statistically robust) clinical prediction models.</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[52], [53]</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[54]</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[55]</w:t>
      </w:r>
      <w:r>
        <w:t xml:space="preserve">. eGFR, uPCR, comorbidity and blood results were measured longitudinally throughout patients time within the cohort. Patient start dates for our model was assigned as their first date after their consent date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t>m</m:t>
        </m:r>
        <m:r>
          <m:t>i</m:t>
        </m:r>
        <m:r>
          <m:t>n</m:t>
        </m:r>
        <m:r>
          <m:t>/</m:t>
        </m:r>
        <m:r>
          <m:t>1.73</m:t>
        </m:r>
        <m:r>
          <m:t>m</m:t>
        </m:r>
        <m:r>
          <m:t>2</m:t>
        </m:r>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[56]</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[30]</w:t>
      </w:r>
      <w:r>
        <w:t xml:space="preserve">. In SKS, start dates were chosen to be the first date after consent where their eGFR was recorded to be less than 60ml/min/1.73m2. In SERPR, start dates were calculated by removing the first recorded eGFR measurement for all patients, any eGFR measurements from before a patient turned 18 and any during an AKI episode</w:t>
      </w:r>
      <w:r>
        <w:t xml:space="preserve"> </w:t>
      </w:r>
      <w:r>
        <w:t xml:space="preserve">[57], [58]</w:t>
      </w:r>
      <w:r>
        <w:t xml:space="preserve">.</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[59]</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[60]</w:t>
      </w:r>
      <w:r>
        <w:t xml:space="preserve">.</w:t>
      </w:r>
    </w:p>
    <w:p>
      <w:pPr>
        <w:pStyle w:val="BodyText"/>
      </w:pPr>
      <w:r>
        <w:t xml:space="preserve">All analysis was done in</w:t>
      </w:r>
      <w:r>
        <w:t xml:space="preserve"> </w:t>
      </w:r>
      <w:r>
        <w:rPr>
          <w:rStyle w:val="VerbatimChar"/>
        </w:rPr>
        <w:t xml:space="preserve">R 3.6.2</w:t>
      </w:r>
      <w:r>
        <w:t xml:space="preserve"> </w:t>
      </w:r>
      <w:r>
        <w:t xml:space="preserve">[61]</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[62]</w:t>
      </w:r>
      <w:r>
        <w:t xml:space="preserve">, as well as the</w:t>
      </w:r>
      <w:r>
        <w:t xml:space="preserve"> </w:t>
      </w:r>
      <w:r>
        <w:rPr>
          <w:rStyle w:val="VerbatimChar"/>
        </w:rPr>
        <w:t xml:space="preserve">mice</w:t>
      </w:r>
      <w:r>
        <w:t xml:space="preserve"> </w:t>
      </w:r>
      <w:r>
        <w:t xml:space="preserve">[63]</w:t>
      </w:r>
      <w:r>
        <w:t xml:space="preserve">,</w:t>
      </w:r>
      <w:r>
        <w:t xml:space="preserve"> </w:t>
      </w:r>
      <w:r>
        <w:rPr>
          <w:rStyle w:val="VerbatimChar"/>
        </w:rPr>
        <w:t xml:space="preserve">flexsurv</w:t>
      </w:r>
      <w:r>
        <w:t xml:space="preserve"> </w:t>
      </w:r>
      <w:r>
        <w:t xml:space="preserve">[64]</w:t>
      </w:r>
      <w:r>
        <w:t xml:space="preserve">,</w:t>
      </w:r>
      <w:r>
        <w:t xml:space="preserve"> </w:t>
      </w:r>
      <w:r>
        <w:rPr>
          <w:rStyle w:val="VerbatimChar"/>
        </w:rPr>
        <w:t xml:space="preserve">nnet</w:t>
      </w:r>
      <w:r>
        <w:t xml:space="preserve"> </w:t>
      </w:r>
      <w:r>
        <w:t xml:space="preserve">[65]</w:t>
      </w:r>
      <w:r>
        <w:t xml:space="preserve"> </w:t>
      </w:r>
      <w:r>
        <w:t xml:space="preserve">and</w:t>
      </w:r>
      <w:r>
        <w:t xml:space="preserve"> </w:t>
      </w:r>
      <w:r>
        <w:rPr>
          <w:rStyle w:val="VerbatimChar"/>
        </w:rPr>
        <w:t xml:space="preserve">furrr</w:t>
      </w:r>
      <w:r>
        <w:t xml:space="preserve"> </w:t>
      </w:r>
      <w:r>
        <w:t xml:space="preserve">[66]</w:t>
      </w:r>
      <w:r>
        <w:t xml:space="preserve"> </w:t>
      </w:r>
      <w:r>
        <w:t xml:space="preserve">packages.</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w:t>
      </w:r>
      <w:r>
        <w:rPr>
          <w:b/>
        </w:rPr>
        <w:t xml:space="preserve">Figure 1</w:t>
      </w:r>
      <w:r>
        <w:t xml:space="preserve">]). The Two-State model was analogous to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BodyText"/>
      </w:pPr>
      <w:r>
        <w:t xml:space="preserve">Variables considered as covariates were demographics (sex, age, smoking status and alcohol consumption), comorbidities (congestive cardiac failure (CCF), chronic obstructive pulmonary disease (COPD), cerebrovascular accident (CVA), hypertension (HT), diabetes mellitus (DM), ischemic heart disease (IHD), chronic liver disease (LD), myocardial infarction (MI), peripheral vascular disease (PVD) and slid tumour (ST)), physical parameters (BMI, blood pressure), blood results (haemoglobin, albumin, calcium and phosphate measures), urine protein creatinine ratio (uPCR) and primary renal diagnosis (grouped as per ERA-EDTA classifications</w:t>
      </w:r>
      <w:r>
        <w:t xml:space="preserve"> </w:t>
      </w:r>
      <w:r>
        <w:t xml:space="preserve">[67]</w:t>
      </w:r>
      <w:r>
        <w:t xml:space="preserve">). Ethnicity was assessed in the populations, but due to extreme homogeneity, it was omitted as a potential predictor from the models.</w:t>
      </w:r>
    </w:p>
    <w:p>
      <w:pPr>
        <w:pStyle w:val="BodyText"/>
      </w:pPr>
      <w:r>
        <w:t xml:space="preserve">uPCR and eGFR Rate of change were also calculated</w:t>
      </w:r>
      <w:r>
        <w:t xml:space="preserve"> </w:t>
      </w:r>
      <w:r>
        <w:t xml:space="preserve">[68], [69]</w:t>
      </w:r>
      <w:r>
        <w:t xml:space="preserve"> </w:t>
      </w:r>
      <w:r>
        <w:t xml:space="preserve">as the difference between the two most recent measures divided by time difference in days. log(Age) was considered as a covariate and then Age was centred at 60 years and squared to account for the variety of effects that Age can have on the transitions involved. To account for any time trend in overall change in treatment techniques, log(-Calendar Time) were included as a covariates (cite). Calendar Time was defined as time of study entry minus 1st January 2019, ensuring CalendarTime is always negative so that patients who entered the study longer ago have a higher value for this covariate.</w:t>
      </w:r>
    </w:p>
    <w:p>
      <w:pPr>
        <w:pStyle w:val="BodyText"/>
      </w:pPr>
      <w:r>
        <w:t xml:space="preserve">Each transition was modelled under a proportional hazards assumption using the Royston-Parmar technique</w:t>
      </w:r>
      <w:r>
        <w:t xml:space="preserve"> </w:t>
      </w:r>
      <w:r>
        <w:t xml:space="preserve">[70]</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[71]</w:t>
      </w:r>
      <w:r>
        <w:t xml:space="preserve">.</w:t>
      </w:r>
    </w:p>
    <w:p>
      <w:pPr>
        <w:pStyle w:val="BodyText"/>
      </w:pPr>
      <w:r>
        <w:t xml:space="preserve">For variable selection, we stacked the imputed datasets together to create a larger, pseudo-population</w:t>
      </w:r>
      <w:r>
        <w:t xml:space="preserve"> </w:t>
      </w:r>
      <w:r>
        <w:t xml:space="preserve">[72]</w:t>
      </w:r>
      <w:r>
        <w:t xml:space="preserve"> </w:t>
      </w:r>
      <w:r>
        <w:t xml:space="preserve">and performed backwards-forwards selection based on minimising the AIC at each step ([</w:t>
      </w:r>
      <w:r>
        <w:rPr>
          <w:b/>
        </w:rPr>
        <w:t xml:space="preserve">Cite: Something</w:t>
      </w:r>
      <w:r>
        <w:t xml:space="preserve">]). This was repeated for each transition and for different numbers of evenly spaced knots, K={0,1,2,3,4,5}, which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[73]</w:t>
      </w:r>
      <w:r>
        <w:t xml:space="preserve">. This gave a model fully defined by smooth cubic splines representing the cumulative cause-specific hazard and individualised proportional hazards for each transition.</w:t>
      </w:r>
    </w:p>
    <w:p>
      <w:pPr>
        <w:pStyle w:val="Heading2"/>
      </w:pPr>
      <w:bookmarkStart w:id="24" w:name="validation"/>
      <w:r>
        <w:t xml:space="preserve">Validation</w:t>
      </w:r>
      <w:bookmarkEnd w:id="24"/>
    </w:p>
    <w:p>
      <w:pPr>
        <w:pStyle w:val="FirstParagraph"/>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9-years.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[74]</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[75]</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[76]</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1"/>
      </w:pPr>
      <w:bookmarkStart w:id="25" w:name="results"/>
      <w:r>
        <w:t xml:space="preserve">Results</w:t>
      </w:r>
      <w:bookmarkEnd w:id="25"/>
    </w:p>
    <w:p>
      <w:pPr>
        <w:pStyle w:val="Heading2"/>
      </w:pPr>
      <w:bookmarkStart w:id="26" w:name="data-sources-1"/>
      <w:r>
        <w:t xml:space="preserve">Data Sources</w:t>
      </w:r>
      <w:bookmarkEnd w:id="26"/>
    </w:p>
    <w:p>
      <w:pPr>
        <w:pStyle w:val="FirstParagraph"/>
      </w:pPr>
      <w:r>
        <w:t xml:space="preserve">As seen in table</w:t>
      </w:r>
      <w:r>
        <w:t xml:space="preserve"> </w:t>
      </w:r>
      <w:r>
        <w:t xml:space="preserve">1</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4515"/>
        <w:gridCol w:w="496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64.378 (14.573) [ 20.000,  94.000] &lt;    0 ( 0.00%)&gt;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65.880 ( 13.734) [    18.000,    98.000]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30.368 (14.122) [  3.577,  59.965] &lt;    0 ( 0.00%)&gt;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36.132 ( 13.668) [     1.651,    59.998]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-0.015 ( 1.528) [-19.107,  33.781] &lt;1,278 (42.87%)&gt;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-25.476 (623.048) [-8,755.272, 9,260.375]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140.193 (21.839) [ 77.000, 220.000] &lt;   50 ( 1.67%)&gt;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147.746 ( 25.984) [    82.000,   258.000] &lt;6,880 (88.61%)&gt;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74.555 (11.754) [ 36.000, 159.000] &lt;   52 ( 1.74%)&gt;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76.263 ( 13.853) [    35.000,   128.000] &lt;6,879 (88.60%)&gt;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28.848 ( 6.114) [ 13.182,  61.466] &lt;  572 (19.18%)&gt;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29.331 (  6.722) [    15.343,    48.301] &lt;7,681 (98.93%)&gt;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42.152 ( 4.186) [ 12.000,  52.000] &lt;   60 ( 2.01%)&gt;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36.490 (  5.647) [     7.000,    53.000] &lt;3,455 (44.50%)&gt;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2.302 ( 0.147) [  1.209,   3.660] &lt;   68 ( 2.28%)&gt;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2.408 (  0.158) [     1.419,     3.610] &lt;5,113 (65.85%)&gt;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122.977 (17.068) [ 61.000, 195.000] &lt;   72 ( 2.41%)&gt;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108.588 ( 38.446) [     6.250,   208.000] &lt;3,968 (51.10%)&gt;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1.162 ( 0.284) [  0.430,   3.710] &lt;   87 ( 2.91%)&gt;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1.203 (  0.311) [     0.370,     4.370] &lt;5,127 (66.03%)&gt;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0.112 ( 0.195) [  0.000,   2.025] &lt;  245 ( 8.21%)&gt;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0.184 (  0.477) [     0.000,     6.390] &lt;7,513 (96.76%)&gt;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-0.096 ( 3.035) [-70.727,  28.198] &lt;1,777 (59.61%)&gt;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73.177 (465.186) [    -2.255, 3,051.403] &lt;7,721 (99.44%)&gt;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4"/>
                <w:szCs w:val="14"/>
                <w:color w:val="000000"/>
              </w:rPr>
              <w:t xml:space="preserve">(ml/min/1.73m^2) or per year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4"/>
                <w:szCs w:val="14"/>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4"/>
                <w:szCs w:val="14"/>
                <w:color w:val="000000"/>
              </w:rPr>
              <w:t xml:space="preserve">(mmHG)</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4"/>
                <w:szCs w:val="14"/>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4"/>
                <w:szCs w:val="14"/>
                <w:color w:val="000000"/>
              </w:rPr>
              <w:t xml:space="preserve">(kg/m^2)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4"/>
                <w:szCs w:val="14"/>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4"/>
                <w:szCs w:val="14"/>
                <w:color w:val="000000"/>
              </w:rPr>
              <w:t xml:space="preserve">(g/l)</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4"/>
                <w:szCs w:val="14"/>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4"/>
                <w:szCs w:val="14"/>
                <w:color w:val="000000"/>
              </w:rPr>
              <w:t xml:space="preserve">(mmol/l)</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4"/>
                <w:szCs w:val="14"/>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4"/>
                <w:szCs w:val="14"/>
                <w:color w:val="000000"/>
              </w:rPr>
              <w:t xml:space="preserve">(gmol/l) or per year</w:t>
            </w:r>
          </w:p>
        </w:tc>
      </w:tr>
    </w:tbl>
    <w:p>
      <w:pPr>
        <w:pStyle w:val="BodyText"/>
      </w:pPr>
      <w:r>
        <w:t xml:space="preserve">Table 1: Population demographics for the continuous variables presented as: mean (sd) [min,max] &lt;number missing (percent missing)&gt;</w:t>
      </w:r>
    </w:p>
    <w:p>
      <w:pPr>
        <w:pStyle w:val="BodyText"/>
      </w:pPr>
      <w:r>
        <w:t xml:space="preserve">2</w:t>
      </w:r>
      <w:r>
        <w:t xml:space="preserve"> </w:t>
      </w:r>
      <w:r>
        <w:t xml:space="preserve">shows a breakdown of the categorical variables across the populations. In the development population, there are far more males than females, which is actually against what is believed to occur in the general public (cite), whereas in the validation population the proportions are much more matched. Ethnicity was very homogeneous in the SKS dataset, and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34"/>
        <w:gridCol w:w="1361"/>
        <w:gridCol w:w="1980"/>
        <w:gridCol w:w="2055"/>
      </w:tblGrid>
      <w:tr>
        <w:trPr>
          <w:cantSplit/>
          <w:trHeight w:val="360" w:hRule="auto"/>
          <w:tblHeader/>
        </w:trPr>
        <w:tc>
          <w:tcPr>
            <w:tcBorders>
              <w:bottom w:val="single" w:sz="4" w:space="0" w:color="000000"/>
              <w:top w:val="single" w:sz="4" w:space="0" w:color="000000"/>
              <w:lef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Variable</w:t>
            </w:r>
          </w:p>
        </w:tc>
        <w:tc>
          <w:tcPr>
            <w:tcBorders>
              <w:bottom w:val="single" w:sz="4" w:space="0" w:color="000000"/>
              <w:top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Category</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SERPR (Validation)</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1,865 (62.56 %)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3,915 (50.42 %)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1,116 (37.43 %)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3,849 (49.57 %)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Ethnicity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White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2,875 (96.44 %)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683 ( 8.79 %)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Asian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75 ( 2.51 %)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 ( 0.15 %)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Black</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21 ( 0.70 %)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 ( 0.09 %)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Other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 ( 0.33 %)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 ( 0.02 %)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 ( 0.00 %)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7,060 (90.93 %)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1,535 (51.49 %)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979 (32.84 %)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379 (12.71 %)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 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46 ( 1.54 %)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 ( 1.40 %)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1,304 (43.74 %)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299 ( 3.85 %)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442 (14.82 %)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225 ( 2.89 %)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268 ( 8.99 %)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164 ( 2.11 %)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227 ( 7.61 %)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188 ( 2.42 %)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173 ( 5.80 %)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 ( 1.31 %)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567 (19.02 %)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6,786 (87.40 %)</w:t>
            </w:r>
          </w:p>
        </w:tc>
      </w:tr>
    </w:tbl>
    <w:p>
      <w:pPr>
        <w:pStyle w:val="BodyText"/>
      </w:pPr>
      <w:r>
        <w:t xml:space="preserve">Table 2: Population demographics for the categorical variables presented as number (percent)</w:t>
      </w:r>
    </w:p>
    <w:p>
      <w:pPr>
        <w:pStyle w:val="BodyText"/>
      </w:pPr>
      <w:r>
        <w:t xml:space="preserve">Overall, there were high levels of comorbidities within the SKS population as shown in</w:t>
      </w:r>
      <w:r>
        <w:t xml:space="preserve"> </w:t>
      </w:r>
      <w:r>
        <w:t xml:space="preserve">3</w:t>
      </w:r>
      <w:r>
        <w:t xml:space="preserve">,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475"/>
        <w:gridCol w:w="2730"/>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992 (33.32%)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1,546 (19.91%)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2,414 (81.08%)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406 ( 5.22%)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2,492 (83.70%)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556 ( 7.16%)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2,393 (80.38%)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867 (11.16%)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2,485 (83.47%)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376 ( 4.84%)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2,727 (91.60%)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184 ( 2.36%)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2,411 (80.98%)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2,891 (97.11%)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2,570 (86.32%)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2,546 (91.48%) &lt;198 (6.64%)&gt;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3,122 (40.21%) &lt;    0 ( 0.00%)&gt;</w:t>
            </w:r>
          </w:p>
        </w:tc>
      </w:tr>
    </w:tbl>
    <w:p>
      <w:pPr>
        <w:pStyle w:val="BodyText"/>
      </w:pPr>
      <w:r>
        <w:t xml:space="preserve">Table 3: Population comorbidity prevalence for the two populations presented as number (percent) &lt;number missing (percent missing)&gt;</w:t>
      </w:r>
    </w:p>
    <w:p>
      <w:pPr>
        <w:pStyle w:val="Heading2"/>
      </w:pPr>
      <w:bookmarkStart w:id="27" w:name="development-1"/>
      <w:r>
        <w:t xml:space="preserve">Development</w:t>
      </w:r>
      <w:bookmarkEnd w:id="27"/>
    </w:p>
    <w:p>
      <w:pPr>
        <w:pStyle w:val="FirstParagraph"/>
      </w:pPr>
      <w:r>
        <w:t xml:space="preserve">Table 4shows the full results from the Three-State Models, the results for the Two-State and Five-State Models can be seen in Supplementary Material. Older patients are more likely to transition to the Dead state, regardless of whether from CKD or an RRT state and Older patients were less likely to transition into the RRT states. Increased rates of decline of eGFR had large effects on the transition from CKD into RRT, due to an increase in rates to HD and the high prevalance of transitions to HD since the effect on transitions into PD were relatively low, and eGFR decline actually reduced the rate of transition to Tx.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835"/>
        <w:gridCol w:w="2835"/>
        <w:gridCol w:w="283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Var</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CKD -&gt; Dead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CKD -&gt; RRT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111111"/>
              </w:rPr>
              <w:t xml:space="preserve">RRT -&gt; Dead</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DiagGroup: 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-0.424 (  -0.854,   0.006)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1.029 (   0.720,   1.338)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-0.562 (  -1.084,  -0.040)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DiagGroup: 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-0.635,  -0.154)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-0.165 (  -0.465,   0.134)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-0.488 (  -0.883,  -0.094)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DiagGroup: Miscellaneous renal disorders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-0.263 (  -0.505,  -0.021)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-0.649 (  -1.143,  -0.155)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0.033 (  -0.553,   0.620)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DiagGroup: Tubulointerstitial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-0.463 (  -0.741,  -0.184)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-0.265 (  -0.577,   0.046)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-0.310 (  -0.803,   0.181)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 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-0.235 (  -0.371,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-0.277 (  -0.455,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Former_3Y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-0.212 (  -0.879,   0.453)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-0.133 (  -0.757,   0.490)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-0.282 (  -1.082,   0.518)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Non_Smoker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-0.345,  -0.051)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-0.162 (  -0.364,   0.039)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-0.294 (  -0.598,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0.356 (   0.160,   0.551)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0.175 (  -0.076,   0.428)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0.387 (   0.068,   0.706)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0.161 (  -0.051,   0.374)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-0.041 (  -0.051,  -0.031)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0.063 (   0.050,   0.076)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-0.002,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-0.000,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-0.064,  -0.024)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-0.032 (  -0.059,  -0.004)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-0.079,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0.280 (  -0.192,   0.752)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-0.515 (  -1.207,   0.177)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-0.535,  -0.253)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-0.299 (  -0.597,  -0.002)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-0.289 (  -0.433,  -0.145)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-0.070 (  -0.252,   0.111)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-0.577,   0.240)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0.000,   0.013)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-0.001,   0.015)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0.122 (  -0.011,   0.255)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0.141 (  -0.074,   0.358)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0.200 (  -0.096,   0.496)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-0.019,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-0.095 (  -0.108,  -0.082)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0.011 (  -0.001,   0.025)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0.055 (  -0.021,   0.131)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-0.056 (  -0.363,   0.250)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-0.017,  -0.008)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-0.012,   0.001)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-0.014,   0.003)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-0.176,   0.726)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-1.104,   0.271)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0.102 (  -0.041,   0.245)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-0.077 (  -0.334,   0.179)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-0.097 (  -0.424,   0.228)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-0.169 (  -0.578,   0.239)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-0.316 (  -0.731,   0.097)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-0.270 (  -0.858,   0.318)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log(Age)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-5.725 ( -17.969,   6.518)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log.Calendar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-0.144 (  -0.331,   0.041)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-0.682,  -0.150)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0.254 (  -0.083,   0.592)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log.eGFR.Rate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0.042 (  -0.125,   0.210)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0.227 (  -0.770,   1.225)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-0.246 (  -0.397,  -0.094)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0.234 (  -0.061,   0.530)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0.186 (  -0.199,   0.572)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0.511 (   0.132,   0.890)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0.869 (  -0.059,   1.799)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-0.248 (  -0.394,  -0.103)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-0.405,   0.068)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-0.183 (  -0.492,   0.126)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-0.431,  -0.117)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-0.181 (  -0.516,   0.153)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-0.278 (  -0.611,   0.055)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-0.001 (  -0.004,   0.002)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-0.000,   0.011)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0.125 (  -0.318,   0.569)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0.700 (   0.112,   1.288)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-0.108 (  -0.736,   0.519)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log.uPCR.Rate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0.218 (  -0.310,   0.747)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-0.534,   0.137)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-0.019 (  -0.045,   0.005)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0.036 (  -0.062,   0.136)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bl>
    <w:p>
      <w:pPr>
        <w:pStyle w:val="BodyText"/>
      </w:pPr>
      <w:r>
        <w:t xml:space="preserve">Table 4: Hazard Ratios for the Three-State Model</w:t>
      </w:r>
    </w:p>
    <w:p>
      <w:pPr>
        <w:pStyle w:val="BodyText"/>
      </w:pPr>
      <w:r>
        <w:t xml:space="preserve">Female patients were more likely to remain in the CKD state than Males, or to remain in the RRT state once there. Smokers were more likely than Non-/Former Smokers to undergo any transition, apart from CKD to Tx. Blood results had effects on all transitions in some way, and Primary Renal Diagnosis were strongly related to predictions. Patients with Liver Disease were much more likely to undergo a Transplant than those without Liver Disease (</w:t>
      </w:r>
      <m:oMath>
        <m:r>
          <m:t>β</m:t>
        </m:r>
        <m:r>
          <m:t>=</m:t>
        </m:r>
        <m:r>
          <m:t>12.4</m:t>
        </m:r>
      </m:oMath>
      <w:r>
        <w:t xml:space="preserve">).</w:t>
      </w:r>
    </w:p>
    <w:p>
      <w:pPr>
        <w:pStyle w:val="Heading2"/>
      </w:pPr>
      <w:bookmarkStart w:id="28" w:name="example"/>
      <w:r>
        <w:t xml:space="preserve">Example</w:t>
      </w:r>
      <w:bookmarkEnd w:id="28"/>
    </w:p>
    <w:p>
      <w:pPr>
        <w:pStyle w:val="Heading2"/>
      </w:pPr>
      <w:bookmarkStart w:id="29" w:name="validation-1"/>
      <w:r>
        <w:t xml:space="preserve">Validation</w:t>
      </w:r>
      <w:bookmarkEnd w:id="29"/>
    </w:p>
    <w:p>
      <w:pPr>
        <w:pStyle w:val="Heading1"/>
      </w:pPr>
      <w:bookmarkStart w:id="30" w:name="discussion"/>
      <w:r>
        <w:t xml:space="preserve">Discussion</w:t>
      </w:r>
      <w:bookmarkEnd w:id="30"/>
    </w:p>
    <w:p>
      <w:pPr>
        <w:pStyle w:val="FirstParagraph"/>
      </w:pPr>
      <w:r>
        <w:t xml:space="preserve">Within our Multi-State Clinical Prediction Model, [</w:t>
      </w:r>
      <w:r>
        <w:rPr>
          <w:b/>
        </w:rPr>
        <w:t xml:space="preserve">covariate</w:t>
      </w:r>
      <w:r>
        <w:t xml:space="preserve">], [</w:t>
      </w:r>
      <w:r>
        <w:rPr>
          <w:b/>
        </w:rPr>
        <w:t xml:space="preserve">covariate</w:t>
      </w:r>
      <w:r>
        <w:t xml:space="preserve">] and [</w:t>
      </w:r>
      <w:r>
        <w:rPr>
          <w:b/>
        </w:rPr>
        <w:t xml:space="preserve">covariate</w:t>
      </w:r>
      <w:r>
        <w:t xml:space="preserve">] had the largest effect on the predictions for patient outcomes. This was caused by the strong relationship between the time to [</w:t>
      </w:r>
      <w:r>
        <w:rPr>
          <w:b/>
        </w:rPr>
        <w:t xml:space="preserve">RRT(?)</w:t>
      </w:r>
      <w:r>
        <w:t xml:space="preserve">] and the level of [</w:t>
      </w:r>
      <w:r>
        <w:rPr>
          <w:b/>
        </w:rPr>
        <w:t xml:space="preserve">covariate</w:t>
      </w:r>
      <w:r>
        <w:t xml:space="preserve">], which also had a strong link to [</w:t>
      </w:r>
      <w:r>
        <w:rPr>
          <w:b/>
        </w:rPr>
        <w:t xml:space="preserve">mortality(?)</w:t>
      </w:r>
      <w:r>
        <w:t xml:space="preserve">], after adjusting for the other covariates within our model.</w:t>
      </w:r>
    </w:p>
    <w:p>
      <w:pPr>
        <w:pStyle w:val="BodyText"/>
      </w:pPr>
      <w:r>
        <w:t xml:space="preserve">[</w:t>
      </w:r>
      <w:r>
        <w:rPr>
          <w:b/>
        </w:rPr>
        <w:t xml:space="preserve">Describe the baseline hazards, seen in suppl. material</w:t>
      </w:r>
      <w:r>
        <w:t xml:space="preserve">]</w:t>
      </w:r>
    </w:p>
    <w:p>
      <w:pPr>
        <w:pStyle w:val="BodyText"/>
      </w:pPr>
      <w:r>
        <w:t xml:space="preserve">[</w:t>
      </w:r>
      <w:r>
        <w:rPr>
          <w:b/>
        </w:rPr>
        <w:t xml:space="preserve">Describe the validation results</w:t>
      </w:r>
      <w:r>
        <w:t xml:space="preserve">]</w:t>
      </w:r>
    </w:p>
    <w:p>
      <w:pPr>
        <w:pStyle w:val="BodyText"/>
      </w:pPr>
      <w:r>
        <w:t xml:space="preserve">Paragraph 2</w:t>
      </w:r>
    </w:p>
    <w:p>
      <w:pPr>
        <w:pStyle w:val="BodyText"/>
      </w:pPr>
      <w:r>
        <w:t xml:space="preserve">The application of a Multi-state clinical prediction model to this field is novel and gives a powerful tool for providing individualised predictions of multiple outcomes at a wide range of time points.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which is modelled as part of the regression. We did not assess the viability of these models as it was believed this assumption to make our results more understandable.</w:t>
      </w:r>
    </w:p>
    <w:p>
      <w:pPr>
        <w:pStyle w:val="BodyText"/>
      </w:pPr>
      <w:r>
        <w:t xml:space="preserve">Paragraph 4</w:t>
      </w:r>
    </w:p>
    <w:p>
      <w:pPr>
        <w:pStyle w:val="BodyText"/>
      </w:pPr>
      <w:r>
        <w:t xml:space="preserve">Paragraph 5</w:t>
      </w:r>
    </w:p>
    <w:p>
      <w:pPr>
        <w:pStyle w:val="BodyText"/>
      </w:pPr>
      <w:r>
        <w:t xml:space="preserve">Paragraph 6</w:t>
      </w:r>
    </w:p>
    <w:p>
      <w:pPr>
        <w:pStyle w:val="BodyText"/>
      </w:pPr>
      <w:r>
        <w:t xml:space="preserve">Paragraph 7</w:t>
      </w:r>
    </w:p>
    <w:p>
      <w:pPr>
        <w:pStyle w:val="Heading1"/>
      </w:pPr>
      <w:bookmarkStart w:id="31" w:name="references"/>
      <w:r>
        <w:t xml:space="preserve">References</w:t>
      </w:r>
      <w:bookmarkEnd w:id="31"/>
    </w:p>
    <w:bookmarkStart w:id="173" w:name="refs"/>
    <w:bookmarkStart w:id="32" w:name="ref-barron_chronic_2014-1"/>
    <w:p>
      <w:pPr>
        <w:pStyle w:val="Bibliography"/>
      </w:pPr>
      <w:r>
        <w:t xml:space="preserve">[1] E. Barron, “Chronic Kidney Disease (CKD) prevalence model,” Public Health England, Oct. 2014.</w:t>
      </w:r>
    </w:p>
    <w:bookmarkEnd w:id="32"/>
    <w:bookmarkStart w:id="34" w:name="ref-macneill_chapter_2018"/>
    <w:p>
      <w:pPr>
        <w:pStyle w:val="Bibliography"/>
      </w:pPr>
      <w:r>
        <w:t xml:space="preserve">[2] S. J. MacNeill, D. Ford, K. Evans, and J. F. Medcalf, “Chapter 2 UK Renal Replacement Therapy Adult Prevalence in 2016: National and Centre-specific Analyses,”</w:t>
      </w:r>
      <w:r>
        <w:t xml:space="preserve"> </w:t>
      </w:r>
      <w:r>
        <w:rPr>
          <w:i/>
        </w:rPr>
        <w:t xml:space="preserve">Nephron</w:t>
      </w:r>
      <w:r>
        <w:t xml:space="preserve">, vol. 139 Suppl 1, pp. 47–74, 2018, doi:</w:t>
      </w:r>
      <w:r>
        <w:t xml:space="preserve"> </w:t>
      </w:r>
      <w:hyperlink r:id="rId33">
        <w:r>
          <w:rPr>
            <w:rStyle w:val="Hyperlink"/>
          </w:rPr>
          <w:t xml:space="preserve">10.1159/000490960</w:t>
        </w:r>
      </w:hyperlink>
      <w:r>
        <w:t xml:space="preserve">.</w:t>
      </w:r>
    </w:p>
    <w:bookmarkEnd w:id="34"/>
    <w:bookmarkStart w:id="36" w:name="ref-hole_chapter_2018"/>
    <w:p>
      <w:pPr>
        <w:pStyle w:val="Bibliography"/>
      </w:pPr>
      <w:r>
        <w:t xml:space="preserve">[3] B. Hole, J. Gilg, A. Casula, S. Methven, and C. Castledine, “Chapter 1 UK Renal Replacement Therapy Adult Incidence in 2016: National and Centre-specific Analyses,”</w:t>
      </w:r>
      <w:r>
        <w:t xml:space="preserve"> </w:t>
      </w:r>
      <w:r>
        <w:rPr>
          <w:i/>
        </w:rPr>
        <w:t xml:space="preserve">Nephron</w:t>
      </w:r>
      <w:r>
        <w:t xml:space="preserve">, vol. 139 Suppl 1, pp. 13–46, 2018, doi:</w:t>
      </w:r>
      <w:r>
        <w:t xml:space="preserve"> </w:t>
      </w:r>
      <w:hyperlink r:id="rId35">
        <w:r>
          <w:rPr>
            <w:rStyle w:val="Hyperlink"/>
          </w:rPr>
          <w:t xml:space="preserve">10.1159/000490959</w:t>
        </w:r>
      </w:hyperlink>
      <w:r>
        <w:t xml:space="preserve">.</w:t>
      </w:r>
    </w:p>
    <w:bookmarkEnd w:id="36"/>
    <w:bookmarkStart w:id="38" w:name="ref-johnson_predicting_2007"/>
    <w:p>
      <w:pPr>
        <w:pStyle w:val="Bibliography"/>
      </w:pPr>
      <w:r>
        <w:t xml:space="preserve">[4]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37">
        <w:r>
          <w:rPr>
            <w:rStyle w:val="Hyperlink"/>
          </w:rPr>
          <w:t xml:space="preserve">10.1053/j.ajkd.2007.07.006</w:t>
        </w:r>
      </w:hyperlink>
      <w:r>
        <w:t xml:space="preserve">.</w:t>
      </w:r>
    </w:p>
    <w:bookmarkEnd w:id="38"/>
    <w:bookmarkStart w:id="40" w:name="ref-landray_prediction_2010"/>
    <w:p>
      <w:pPr>
        <w:pStyle w:val="Bibliography"/>
      </w:pPr>
      <w:r>
        <w:t xml:space="preserve">[5]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39">
        <w:r>
          <w:rPr>
            <w:rStyle w:val="Hyperlink"/>
          </w:rPr>
          <w:t xml:space="preserve">10.1053/j.ajkd.2010.07.016</w:t>
        </w:r>
      </w:hyperlink>
      <w:r>
        <w:t xml:space="preserve">.</w:t>
      </w:r>
    </w:p>
    <w:bookmarkEnd w:id="40"/>
    <w:bookmarkStart w:id="42" w:name="ref-bansal_development_2015"/>
    <w:p>
      <w:pPr>
        <w:pStyle w:val="Bibliography"/>
      </w:pPr>
      <w:r>
        <w:t xml:space="preserve">[6]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41">
        <w:r>
          <w:rPr>
            <w:rStyle w:val="Hyperlink"/>
          </w:rPr>
          <w:t xml:space="preserve">10.2215/CJN.04650514</w:t>
        </w:r>
      </w:hyperlink>
      <w:r>
        <w:t xml:space="preserve">.</w:t>
      </w:r>
    </w:p>
    <w:bookmarkEnd w:id="42"/>
    <w:bookmarkStart w:id="44" w:name="ref-marks_looking_2015"/>
    <w:p>
      <w:pPr>
        <w:pStyle w:val="Bibliography"/>
      </w:pPr>
      <w:r>
        <w:t xml:space="preserve">[7]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43">
        <w:r>
          <w:rPr>
            <w:rStyle w:val="Hyperlink"/>
          </w:rPr>
          <w:t xml:space="preserve">10.1093/ndt/gfv089</w:t>
        </w:r>
      </w:hyperlink>
      <w:r>
        <w:t xml:space="preserve">.</w:t>
      </w:r>
    </w:p>
    <w:bookmarkEnd w:id="44"/>
    <w:bookmarkStart w:id="46" w:name="ref-wick_clinical_2017"/>
    <w:p>
      <w:pPr>
        <w:pStyle w:val="Bibliography"/>
      </w:pPr>
      <w:r>
        <w:t xml:space="preserve">[8]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45">
        <w:r>
          <w:rPr>
            <w:rStyle w:val="Hyperlink"/>
          </w:rPr>
          <w:t xml:space="preserve">10.1053/j.ajkd.2016.08.035</w:t>
        </w:r>
      </w:hyperlink>
      <w:r>
        <w:t xml:space="preserve">.</w:t>
      </w:r>
    </w:p>
    <w:bookmarkEnd w:id="46"/>
    <w:bookmarkStart w:id="48" w:name="ref-johnson_predicting_2008"/>
    <w:p>
      <w:pPr>
        <w:pStyle w:val="Bibliography"/>
      </w:pPr>
      <w:r>
        <w:t xml:space="preserve">[9]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47">
        <w:r>
          <w:rPr>
            <w:rStyle w:val="Hyperlink"/>
          </w:rPr>
          <w:t xml:space="preserve">10.1053/j.ajkd.2008.04.026</w:t>
        </w:r>
      </w:hyperlink>
      <w:r>
        <w:t xml:space="preserve">.</w:t>
      </w:r>
    </w:p>
    <w:bookmarkEnd w:id="48"/>
    <w:bookmarkStart w:id="50" w:name="ref-schroeder_predicting_2017"/>
    <w:p>
      <w:pPr>
        <w:pStyle w:val="Bibliography"/>
      </w:pPr>
      <w:r>
        <w:t xml:space="preserve">[10]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49">
        <w:r>
          <w:rPr>
            <w:rStyle w:val="Hyperlink"/>
          </w:rPr>
          <w:t xml:space="preserve">10.2215/CJN.01290216</w:t>
        </w:r>
      </w:hyperlink>
      <w:r>
        <w:t xml:space="preserve">.</w:t>
      </w:r>
    </w:p>
    <w:bookmarkEnd w:id="50"/>
    <w:bookmarkStart w:id="52" w:name="ref-kulkarni_transition_2017"/>
    <w:p>
      <w:pPr>
        <w:pStyle w:val="Bibliography"/>
      </w:pPr>
      <w:r>
        <w:t xml:space="preserve">[11]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51">
        <w:r>
          <w:rPr>
            <w:rStyle w:val="Hyperlink"/>
          </w:rPr>
          <w:t xml:space="preserve">10.1371/journal.pone.0190277</w:t>
        </w:r>
      </w:hyperlink>
      <w:r>
        <w:t xml:space="preserve">.</w:t>
      </w:r>
    </w:p>
    <w:bookmarkEnd w:id="52"/>
    <w:bookmarkStart w:id="54" w:name="ref-floege_development_2015"/>
    <w:p>
      <w:pPr>
        <w:pStyle w:val="Bibliography"/>
      </w:pPr>
      <w:r>
        <w:t xml:space="preserve">[12]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53">
        <w:r>
          <w:rPr>
            <w:rStyle w:val="Hyperlink"/>
          </w:rPr>
          <w:t xml:space="preserve">10.1038/ki.2014.419</w:t>
        </w:r>
      </w:hyperlink>
      <w:r>
        <w:t xml:space="preserve">.</w:t>
      </w:r>
    </w:p>
    <w:bookmarkEnd w:id="54"/>
    <w:bookmarkStart w:id="56" w:name="ref-hemke_survival_2013"/>
    <w:p>
      <w:pPr>
        <w:pStyle w:val="Bibliography"/>
      </w:pPr>
      <w:r>
        <w:t xml:space="preserve">[13]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55">
        <w:r>
          <w:rPr>
            <w:rStyle w:val="Hyperlink"/>
          </w:rPr>
          <w:t xml:space="preserve">10.1186/1471-2369-14-258</w:t>
        </w:r>
      </w:hyperlink>
      <w:r>
        <w:t xml:space="preserve">.</w:t>
      </w:r>
    </w:p>
    <w:bookmarkEnd w:id="56"/>
    <w:bookmarkStart w:id="58" w:name="ref-cao_predicting_2015"/>
    <w:p>
      <w:pPr>
        <w:pStyle w:val="Bibliography"/>
      </w:pPr>
      <w:r>
        <w:t xml:space="preserve">[14]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57">
        <w:r>
          <w:rPr>
            <w:rStyle w:val="Hyperlink"/>
          </w:rPr>
          <w:t xml:space="preserve">10.7150/ijms.11694</w:t>
        </w:r>
      </w:hyperlink>
      <w:r>
        <w:t xml:space="preserve">.</w:t>
      </w:r>
    </w:p>
    <w:bookmarkEnd w:id="58"/>
    <w:bookmarkStart w:id="60" w:name="ref-tangri_predictive_2011"/>
    <w:p>
      <w:pPr>
        <w:pStyle w:val="Bibliography"/>
      </w:pPr>
      <w:r>
        <w:t xml:space="preserve">[15]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59">
        <w:r>
          <w:rPr>
            <w:rStyle w:val="Hyperlink"/>
          </w:rPr>
          <w:t xml:space="preserve">10.1001/jama.2011.451</w:t>
        </w:r>
      </w:hyperlink>
      <w:r>
        <w:t xml:space="preserve">.</w:t>
      </w:r>
    </w:p>
    <w:bookmarkEnd w:id="60"/>
    <w:bookmarkStart w:id="62" w:name="ref-roy_statistical_2017"/>
    <w:p>
      <w:pPr>
        <w:pStyle w:val="Bibliography"/>
      </w:pPr>
      <w:r>
        <w:t xml:space="preserve">[16]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61">
        <w:r>
          <w:rPr>
            <w:rStyle w:val="Hyperlink"/>
          </w:rPr>
          <w:t xml:space="preserve">10.2215/CJN.06210616</w:t>
        </w:r>
      </w:hyperlink>
      <w:r>
        <w:t xml:space="preserve">.</w:t>
      </w:r>
    </w:p>
    <w:bookmarkEnd w:id="62"/>
    <w:bookmarkStart w:id="64" w:name="ref-tangri_dynamic_2017"/>
    <w:p>
      <w:pPr>
        <w:pStyle w:val="Bibliography"/>
      </w:pPr>
      <w:r>
        <w:t xml:space="preserve">[17]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63">
        <w:r>
          <w:rPr>
            <w:rStyle w:val="Hyperlink"/>
          </w:rPr>
          <w:t xml:space="preserve">10.1053/j.ajkd.2016.07.030</w:t>
        </w:r>
      </w:hyperlink>
      <w:r>
        <w:t xml:space="preserve">.</w:t>
      </w:r>
    </w:p>
    <w:bookmarkEnd w:id="64"/>
    <w:bookmarkStart w:id="66" w:name="ref-shlipak_cardiovascular_2005"/>
    <w:p>
      <w:pPr>
        <w:pStyle w:val="Bibliography"/>
      </w:pPr>
      <w:r>
        <w:t xml:space="preserve">[18]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65">
        <w:r>
          <w:rPr>
            <w:rStyle w:val="Hyperlink"/>
          </w:rPr>
          <w:t xml:space="preserve">10.1001/jama.293.14.1737</w:t>
        </w:r>
      </w:hyperlink>
      <w:r>
        <w:t xml:space="preserve">.</w:t>
      </w:r>
    </w:p>
    <w:bookmarkEnd w:id="66"/>
    <w:bookmarkStart w:id="68" w:name="ref-weiner_framingham_2007"/>
    <w:p>
      <w:pPr>
        <w:pStyle w:val="Bibliography"/>
      </w:pPr>
      <w:r>
        <w:t xml:space="preserve">[19]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67">
        <w:r>
          <w:rPr>
            <w:rStyle w:val="Hyperlink"/>
          </w:rPr>
          <w:t xml:space="preserve">10.1016/j.jacc.2007.03.037</w:t>
        </w:r>
      </w:hyperlink>
      <w:r>
        <w:t xml:space="preserve">.</w:t>
      </w:r>
    </w:p>
    <w:bookmarkEnd w:id="68"/>
    <w:bookmarkStart w:id="70" w:name="ref-mcmurray_predictors_2011"/>
    <w:p>
      <w:pPr>
        <w:pStyle w:val="Bibliography"/>
      </w:pPr>
      <w:r>
        <w:t xml:space="preserve">[20]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69">
        <w:r>
          <w:rPr>
            <w:rStyle w:val="Hyperlink"/>
          </w:rPr>
          <w:t xml:space="preserve">10.1016/j.ahj.2011.07.016</w:t>
        </w:r>
      </w:hyperlink>
      <w:r>
        <w:t xml:space="preserve">.</w:t>
      </w:r>
    </w:p>
    <w:bookmarkEnd w:id="70"/>
    <w:bookmarkStart w:id="72" w:name="ref-grams_assessing_2013"/>
    <w:p>
      <w:pPr>
        <w:pStyle w:val="Bibliography"/>
      </w:pPr>
      <w:r>
        <w:t xml:space="preserve">[21]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71">
        <w:r>
          <w:rPr>
            <w:rStyle w:val="Hyperlink"/>
          </w:rPr>
          <w:t xml:space="preserve">10.1038/nrneph.2012.248</w:t>
        </w:r>
      </w:hyperlink>
      <w:r>
        <w:t xml:space="preserve">.</w:t>
      </w:r>
    </w:p>
    <w:bookmarkEnd w:id="72"/>
    <w:bookmarkStart w:id="74" w:name="ref-tangri_risk_2013"/>
    <w:p>
      <w:pPr>
        <w:pStyle w:val="Bibliography"/>
      </w:pPr>
      <w:r>
        <w:t xml:space="preserve">[22]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73">
        <w:r>
          <w:rPr>
            <w:rStyle w:val="Hyperlink"/>
          </w:rPr>
          <w:t xml:space="preserve">10.7326/0003-4819-158-8-201304160-00004</w:t>
        </w:r>
      </w:hyperlink>
      <w:r>
        <w:t xml:space="preserve">.</w:t>
      </w:r>
    </w:p>
    <w:bookmarkEnd w:id="74"/>
    <w:bookmarkStart w:id="76" w:name="ref-ramspek_prediction_2017"/>
    <w:p>
      <w:pPr>
        <w:pStyle w:val="Bibliography"/>
      </w:pPr>
      <w:r>
        <w:t xml:space="preserve">[23]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75">
        <w:r>
          <w:rPr>
            <w:rStyle w:val="Hyperlink"/>
          </w:rPr>
          <w:t xml:space="preserve">10.2147/CLEP.S139748</w:t>
        </w:r>
      </w:hyperlink>
      <w:r>
        <w:t xml:space="preserve">.</w:t>
      </w:r>
    </w:p>
    <w:bookmarkEnd w:id="76"/>
    <w:bookmarkStart w:id="78" w:name="ref-collins_transparent_2015"/>
    <w:p>
      <w:pPr>
        <w:pStyle w:val="Bibliography"/>
      </w:pPr>
      <w:r>
        <w:t xml:space="preserve">[24]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77">
        <w:r>
          <w:rPr>
            <w:rStyle w:val="Hyperlink"/>
          </w:rPr>
          <w:t xml:space="preserve">10.1186/s12916-014-0241-z</w:t>
        </w:r>
      </w:hyperlink>
      <w:r>
        <w:t xml:space="preserve">.</w:t>
      </w:r>
    </w:p>
    <w:bookmarkEnd w:id="78"/>
    <w:bookmarkStart w:id="80" w:name="ref-bouwmeester_reporting_2012-1"/>
    <w:p>
      <w:pPr>
        <w:pStyle w:val="Bibliography"/>
      </w:pPr>
      <w:r>
        <w:t xml:space="preserve">[25]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79">
        <w:r>
          <w:rPr>
            <w:rStyle w:val="Hyperlink"/>
          </w:rPr>
          <w:t xml:space="preserve">10.1371/journal.pmed.1001221</w:t>
        </w:r>
      </w:hyperlink>
      <w:r>
        <w:t xml:space="preserve">.</w:t>
      </w:r>
    </w:p>
    <w:bookmarkEnd w:id="80"/>
    <w:bookmarkStart w:id="82" w:name="ref-perotte_risk_2015"/>
    <w:p>
      <w:pPr>
        <w:pStyle w:val="Bibliography"/>
      </w:pPr>
      <w:r>
        <w:t xml:space="preserve">[26]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81">
        <w:r>
          <w:rPr>
            <w:rStyle w:val="Hyperlink"/>
          </w:rPr>
          <w:t xml:space="preserve">10.1093/jamia/ocv024</w:t>
        </w:r>
      </w:hyperlink>
      <w:r>
        <w:t xml:space="preserve">.</w:t>
      </w:r>
    </w:p>
    <w:bookmarkEnd w:id="82"/>
    <w:bookmarkStart w:id="84" w:name="ref-steyerberg_prognosis_2013"/>
    <w:p>
      <w:pPr>
        <w:pStyle w:val="Bibliography"/>
      </w:pPr>
      <w:r>
        <w:t xml:space="preserve">[27]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83">
        <w:r>
          <w:rPr>
            <w:rStyle w:val="Hyperlink"/>
          </w:rPr>
          <w:t xml:space="preserve">10.1371/journal.pmed.1001381</w:t>
        </w:r>
      </w:hyperlink>
      <w:r>
        <w:t xml:space="preserve">.</w:t>
      </w:r>
    </w:p>
    <w:bookmarkEnd w:id="84"/>
    <w:bookmarkStart w:id="86" w:name="ref-begun_identification_2013"/>
    <w:p>
      <w:pPr>
        <w:pStyle w:val="Bibliography"/>
      </w:pPr>
      <w:r>
        <w:t xml:space="preserve">[28]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85">
        <w:r>
          <w:rPr>
            <w:rStyle w:val="Hyperlink"/>
          </w:rPr>
          <w:t xml:space="preserve">10.1177/0272989X12466731</w:t>
        </w:r>
      </w:hyperlink>
      <w:r>
        <w:t xml:space="preserve">.</w:t>
      </w:r>
    </w:p>
    <w:bookmarkEnd w:id="86"/>
    <w:bookmarkStart w:id="88" w:name="ref-allen_chronic_2014"/>
    <w:p>
      <w:pPr>
        <w:pStyle w:val="Bibliography"/>
      </w:pPr>
      <w:r>
        <w:t xml:space="preserve">[29]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87">
        <w:r>
          <w:rPr>
            <w:rStyle w:val="Hyperlink"/>
          </w:rPr>
          <w:t xml:space="preserve">10.1016/j.jhep.2014.03.034</w:t>
        </w:r>
      </w:hyperlink>
      <w:r>
        <w:t xml:space="preserve">.</w:t>
      </w:r>
    </w:p>
    <w:bookmarkEnd w:id="88"/>
    <w:bookmarkStart w:id="90" w:name="ref-grams_predicting_2018"/>
    <w:p>
      <w:pPr>
        <w:pStyle w:val="Bibliography"/>
      </w:pPr>
      <w:r>
        <w:t xml:space="preserve">[30]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89">
        <w:r>
          <w:rPr>
            <w:rStyle w:val="Hyperlink"/>
          </w:rPr>
          <w:t xml:space="preserve">10.1016/j.kint.2018.01.009</w:t>
        </w:r>
      </w:hyperlink>
      <w:r>
        <w:t xml:space="preserve">.</w:t>
      </w:r>
    </w:p>
    <w:bookmarkEnd w:id="90"/>
    <w:bookmarkStart w:id="92" w:name="ref-altman_problems_1994-1"/>
    <w:p>
      <w:pPr>
        <w:pStyle w:val="Bibliography"/>
      </w:pPr>
      <w:r>
        <w:t xml:space="preserve">[31] D. G. Altman, “Problems in dichotomizing continuous variables,”</w:t>
      </w:r>
      <w:r>
        <w:t xml:space="preserve"> </w:t>
      </w:r>
      <w:r>
        <w:rPr>
          <w:i/>
        </w:rPr>
        <w:t xml:space="preserve">American Journal of Epidemiology</w:t>
      </w:r>
      <w:r>
        <w:t xml:space="preserve">, vol. 139, no. 4, pp. 442–445, Feb. 1994, doi:</w:t>
      </w:r>
      <w:r>
        <w:t xml:space="preserve"> </w:t>
      </w:r>
      <w:hyperlink r:id="rId91">
        <w:r>
          <w:rPr>
            <w:rStyle w:val="Hyperlink"/>
          </w:rPr>
          <w:t xml:space="preserve">10.1093/oxfordjournals.aje.a117020</w:t>
        </w:r>
      </w:hyperlink>
      <w:r>
        <w:t xml:space="preserve">.</w:t>
      </w:r>
    </w:p>
    <w:bookmarkEnd w:id="92"/>
    <w:bookmarkStart w:id="94" w:name="ref-altman_dangers_1994-1"/>
    <w:p>
      <w:pPr>
        <w:pStyle w:val="Bibliography"/>
      </w:pPr>
      <w:r>
        <w:t xml:space="preserve">[32]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93">
        <w:r>
          <w:rPr>
            <w:rStyle w:val="Hyperlink"/>
          </w:rPr>
          <w:t xml:space="preserve">10.1093/jnci/86.11.829</w:t>
        </w:r>
      </w:hyperlink>
      <w:r>
        <w:t xml:space="preserve">.</w:t>
      </w:r>
    </w:p>
    <w:bookmarkEnd w:id="94"/>
    <w:bookmarkStart w:id="96" w:name="ref-altman_cost_2006-1"/>
    <w:p>
      <w:pPr>
        <w:pStyle w:val="Bibliography"/>
      </w:pPr>
      <w:r>
        <w:t xml:space="preserve">[33] D. G. Altman and P. Royston, “The cost of dichotomising continuous variables,”</w:t>
      </w:r>
      <w:r>
        <w:t xml:space="preserve"> </w:t>
      </w:r>
      <w:r>
        <w:rPr>
          <w:i/>
        </w:rPr>
        <w:t xml:space="preserve">BMJ</w:t>
      </w:r>
      <w:r>
        <w:t xml:space="preserve">, vol. 332, no. 7549, p. 1080, May 2006, doi:</w:t>
      </w:r>
      <w:r>
        <w:t xml:space="preserve"> </w:t>
      </w:r>
      <w:hyperlink r:id="rId95">
        <w:r>
          <w:rPr>
            <w:rStyle w:val="Hyperlink"/>
          </w:rPr>
          <w:t xml:space="preserve">10.1136/bmj.332.7549.1080</w:t>
        </w:r>
      </w:hyperlink>
      <w:r>
        <w:t xml:space="preserve">.</w:t>
      </w:r>
    </w:p>
    <w:bookmarkEnd w:id="96"/>
    <w:bookmarkStart w:id="98" w:name="ref-bennette_against_2012-1"/>
    <w:p>
      <w:pPr>
        <w:pStyle w:val="Bibliography"/>
      </w:pPr>
      <w:r>
        <w:t xml:space="preserve">[34]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97">
        <w:r>
          <w:rPr>
            <w:rStyle w:val="Hyperlink"/>
          </w:rPr>
          <w:t xml:space="preserve">10.1186/1471-2288-12-21</w:t>
        </w:r>
      </w:hyperlink>
      <w:r>
        <w:t xml:space="preserve">.</w:t>
      </w:r>
    </w:p>
    <w:bookmarkEnd w:id="98"/>
    <w:bookmarkStart w:id="99" w:name="ref-butts_chopped_2009-1"/>
    <w:p>
      <w:pPr>
        <w:pStyle w:val="Bibliography"/>
      </w:pPr>
      <w:r>
        <w:t xml:space="preserve">[35]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99"/>
    <w:bookmarkStart w:id="101" w:name="ref-cumberland_ophthalmic_2014-1"/>
    <w:p>
      <w:pPr>
        <w:pStyle w:val="Bibliography"/>
      </w:pPr>
      <w:r>
        <w:t xml:space="preserve">[36]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100">
        <w:r>
          <w:rPr>
            <w:rStyle w:val="Hyperlink"/>
          </w:rPr>
          <w:t xml:space="preserve">10.1136/bjophthalmol-2014-304930</w:t>
        </w:r>
      </w:hyperlink>
      <w:r>
        <w:t xml:space="preserve">.</w:t>
      </w:r>
    </w:p>
    <w:bookmarkEnd w:id="101"/>
    <w:bookmarkStart w:id="103" w:name="ref-dawson_dichotomizing_2012-1"/>
    <w:p>
      <w:pPr>
        <w:pStyle w:val="Bibliography"/>
      </w:pPr>
      <w:r>
        <w:t xml:space="preserve">[37]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102">
        <w:r>
          <w:rPr>
            <w:rStyle w:val="Hyperlink"/>
          </w:rPr>
          <w:t xml:space="preserve">10.1177/0272989X12437605</w:t>
        </w:r>
      </w:hyperlink>
      <w:r>
        <w:t xml:space="preserve">.</w:t>
      </w:r>
    </w:p>
    <w:bookmarkEnd w:id="103"/>
    <w:bookmarkStart w:id="105" w:name="ref-dinero_seven_1996-1"/>
    <w:p>
      <w:pPr>
        <w:pStyle w:val="Bibliography"/>
      </w:pPr>
      <w:r>
        <w:t xml:space="preserve">[38]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04">
        <w:r>
          <w:rPr>
            <w:rStyle w:val="Hyperlink"/>
          </w:rPr>
          <w:t xml:space="preserve">10.1300/J045v08n01_06</w:t>
        </w:r>
      </w:hyperlink>
      <w:r>
        <w:t xml:space="preserve">.</w:t>
      </w:r>
    </w:p>
    <w:bookmarkEnd w:id="105"/>
    <w:bookmarkStart w:id="107" w:name="ref-irwin_negative_2003"/>
    <w:p>
      <w:pPr>
        <w:pStyle w:val="Bibliography"/>
      </w:pPr>
      <w:r>
        <w:t xml:space="preserve">[39]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06">
        <w:r>
          <w:rPr>
            <w:rStyle w:val="Hyperlink"/>
          </w:rPr>
          <w:t xml:space="preserve">10.1509/jmkr.40.3.366.19237</w:t>
        </w:r>
      </w:hyperlink>
      <w:r>
        <w:t xml:space="preserve">.</w:t>
      </w:r>
    </w:p>
    <w:bookmarkEnd w:id="107"/>
    <w:bookmarkStart w:id="109" w:name="ref-kuss_danger_2013"/>
    <w:p>
      <w:pPr>
        <w:pStyle w:val="Bibliography"/>
      </w:pPr>
      <w:r>
        <w:t xml:space="preserve">[40] O. Kuss, “The danger of dichotomizing continuous variables: A visualization,”</w:t>
      </w:r>
      <w:r>
        <w:t xml:space="preserve"> </w:t>
      </w:r>
      <w:r>
        <w:rPr>
          <w:i/>
        </w:rPr>
        <w:t xml:space="preserve">Teaching Statistics</w:t>
      </w:r>
      <w:r>
        <w:t xml:space="preserve">, vol. 35, no. 2, pp. 78–79, 2013, doi:</w:t>
      </w:r>
      <w:r>
        <w:t xml:space="preserve"> </w:t>
      </w:r>
      <w:hyperlink r:id="rId108">
        <w:r>
          <w:rPr>
            <w:rStyle w:val="Hyperlink"/>
          </w:rPr>
          <w:t xml:space="preserve">10.1111/test.12006</w:t>
        </w:r>
      </w:hyperlink>
      <w:r>
        <w:t xml:space="preserve">.</w:t>
      </w:r>
    </w:p>
    <w:bookmarkEnd w:id="109"/>
    <w:bookmarkStart w:id="111" w:name="ref-metze_dichotomization_2008"/>
    <w:p>
      <w:pPr>
        <w:pStyle w:val="Bibliography"/>
      </w:pPr>
      <w:r>
        <w:t xml:space="preserve">[41]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10">
        <w:r>
          <w:rPr>
            <w:rStyle w:val="Hyperlink"/>
          </w:rPr>
          <w:t xml:space="preserve">10.1016/j.prp.2007.12.002</w:t>
        </w:r>
      </w:hyperlink>
      <w:r>
        <w:t xml:space="preserve">.</w:t>
      </w:r>
    </w:p>
    <w:bookmarkEnd w:id="111"/>
    <w:bookmarkStart w:id="113" w:name="ref-naggara_analysis_2011"/>
    <w:p>
      <w:pPr>
        <w:pStyle w:val="Bibliography"/>
      </w:pPr>
      <w:r>
        <w:t xml:space="preserve">[42]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12">
        <w:r>
          <w:rPr>
            <w:rStyle w:val="Hyperlink"/>
          </w:rPr>
          <w:t xml:space="preserve">10.3174/ajnr.A2425</w:t>
        </w:r>
      </w:hyperlink>
      <w:r>
        <w:t xml:space="preserve">.</w:t>
      </w:r>
    </w:p>
    <w:bookmarkEnd w:id="113"/>
    <w:bookmarkStart w:id="115" w:name="ref-owen_why_2005"/>
    <w:p>
      <w:pPr>
        <w:pStyle w:val="Bibliography"/>
      </w:pPr>
      <w:r>
        <w:t xml:space="preserve">[43] S. V. Owen and R. D. Froman, “Why carve up your continuous data?”</w:t>
      </w:r>
      <w:r>
        <w:t xml:space="preserve"> </w:t>
      </w:r>
      <w:r>
        <w:rPr>
          <w:i/>
        </w:rPr>
        <w:t xml:space="preserve">Research in Nursing &amp; Health</w:t>
      </w:r>
      <w:r>
        <w:t xml:space="preserve">, vol. 28, no. 6, pp. 496–503, 2005, doi:</w:t>
      </w:r>
      <w:r>
        <w:t xml:space="preserve"> </w:t>
      </w:r>
      <w:hyperlink r:id="rId114">
        <w:r>
          <w:rPr>
            <w:rStyle w:val="Hyperlink"/>
          </w:rPr>
          <w:t xml:space="preserve">10.1002/nur.20107</w:t>
        </w:r>
      </w:hyperlink>
      <w:r>
        <w:t xml:space="preserve">.</w:t>
      </w:r>
    </w:p>
    <w:bookmarkEnd w:id="115"/>
    <w:bookmarkStart w:id="117" w:name="ref-royston_dichotomizing_2006"/>
    <w:p>
      <w:pPr>
        <w:pStyle w:val="Bibliography"/>
      </w:pPr>
      <w:r>
        <w:t xml:space="preserve">[44]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16">
        <w:r>
          <w:rPr>
            <w:rStyle w:val="Hyperlink"/>
          </w:rPr>
          <w:t xml:space="preserve">10.1002/sim.2331</w:t>
        </w:r>
      </w:hyperlink>
      <w:r>
        <w:t xml:space="preserve">.</w:t>
      </w:r>
    </w:p>
    <w:bookmarkEnd w:id="117"/>
    <w:bookmarkStart w:id="119" w:name="ref-schellingerhout_categorizing_2009"/>
    <w:p>
      <w:pPr>
        <w:pStyle w:val="Bibliography"/>
      </w:pPr>
      <w:r>
        <w:t xml:space="preserve">[45]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18">
        <w:r>
          <w:rPr>
            <w:rStyle w:val="Hyperlink"/>
          </w:rPr>
          <w:t xml:space="preserve">10.1016/j.jclinepi.2008.10.010</w:t>
        </w:r>
      </w:hyperlink>
      <w:r>
        <w:t xml:space="preserve">.</w:t>
      </w:r>
    </w:p>
    <w:bookmarkEnd w:id="119"/>
    <w:bookmarkStart w:id="121" w:name="ref-streiner_breaking_2002"/>
    <w:p>
      <w:pPr>
        <w:pStyle w:val="Bibliography"/>
      </w:pPr>
      <w:r>
        <w:t xml:space="preserve">[46]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20">
        <w:r>
          <w:rPr>
            <w:rStyle w:val="Hyperlink"/>
          </w:rPr>
          <w:t xml:space="preserve">10.1177/070674370204700307</w:t>
        </w:r>
      </w:hyperlink>
      <w:r>
        <w:t xml:space="preserve">.</w:t>
      </w:r>
    </w:p>
    <w:bookmarkEnd w:id="121"/>
    <w:bookmarkStart w:id="123" w:name="ref-van_walraven_leave_2008"/>
    <w:p>
      <w:pPr>
        <w:pStyle w:val="Bibliography"/>
      </w:pPr>
      <w:r>
        <w:t xml:space="preserve">[47]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22">
        <w:r>
          <w:rPr>
            <w:rStyle w:val="Hyperlink"/>
          </w:rPr>
          <w:t xml:space="preserve">10.1159/000126908</w:t>
        </w:r>
      </w:hyperlink>
      <w:r>
        <w:t xml:space="preserve">.</w:t>
      </w:r>
    </w:p>
    <w:bookmarkEnd w:id="123"/>
    <w:bookmarkStart w:id="125" w:name="ref-vintzileos_anathema_2014"/>
    <w:p>
      <w:pPr>
        <w:pStyle w:val="Bibliography"/>
      </w:pPr>
      <w:r>
        <w:t xml:space="preserve">[48]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24">
        <w:r>
          <w:rPr>
            <w:rStyle w:val="Hyperlink"/>
          </w:rPr>
          <w:t xml:space="preserve">10.1016/j.ajog.2013.09.042</w:t>
        </w:r>
      </w:hyperlink>
      <w:r>
        <w:t xml:space="preserve">.</w:t>
      </w:r>
    </w:p>
    <w:bookmarkEnd w:id="125"/>
    <w:bookmarkStart w:id="126" w:name="ref-weinberg_how_1995"/>
    <w:p>
      <w:pPr>
        <w:pStyle w:val="Bibliography"/>
      </w:pPr>
      <w:r>
        <w:t xml:space="preserve">[49] C. R. Weinberg, “How Bad Is Categorization?”</w:t>
      </w:r>
      <w:r>
        <w:t xml:space="preserve"> </w:t>
      </w:r>
      <w:r>
        <w:rPr>
          <w:i/>
        </w:rPr>
        <w:t xml:space="preserve">Epidemiology</w:t>
      </w:r>
      <w:r>
        <w:t xml:space="preserve">, vol. 6, no. 4, pp. 345–347, 1995.</w:t>
      </w:r>
    </w:p>
    <w:bookmarkEnd w:id="126"/>
    <w:bookmarkStart w:id="128" w:name="ref-altman_prognosis_2009"/>
    <w:p>
      <w:pPr>
        <w:pStyle w:val="Bibliography"/>
      </w:pPr>
      <w:r>
        <w:t xml:space="preserve">[50]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27">
        <w:r>
          <w:rPr>
            <w:rStyle w:val="Hyperlink"/>
          </w:rPr>
          <w:t xml:space="preserve">10.1136/bmj.b605</w:t>
        </w:r>
      </w:hyperlink>
      <w:r>
        <w:t xml:space="preserve">.</w:t>
      </w:r>
    </w:p>
    <w:bookmarkEnd w:id="128"/>
    <w:bookmarkStart w:id="130" w:name="ref-royston_prognosis_2009"/>
    <w:p>
      <w:pPr>
        <w:pStyle w:val="Bibliography"/>
      </w:pPr>
      <w:r>
        <w:t xml:space="preserve">[51]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29">
        <w:r>
          <w:rPr>
            <w:rStyle w:val="Hyperlink"/>
          </w:rPr>
          <w:t xml:space="preserve">10.1136/bmj.b604</w:t>
        </w:r>
      </w:hyperlink>
      <w:r>
        <w:t xml:space="preserve">.</w:t>
      </w:r>
    </w:p>
    <w:bookmarkEnd w:id="130"/>
    <w:bookmarkStart w:id="132" w:name="ref-hoefield_factors_2010"/>
    <w:p>
      <w:pPr>
        <w:pStyle w:val="Bibliography"/>
      </w:pPr>
      <w:r>
        <w:t xml:space="preserve">[52]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31">
        <w:r>
          <w:rPr>
            <w:rStyle w:val="Hyperlink"/>
          </w:rPr>
          <w:t xml:space="preserve">10.1053/j.ajkd.2010.06.010</w:t>
        </w:r>
      </w:hyperlink>
      <w:r>
        <w:t xml:space="preserve">.</w:t>
      </w:r>
    </w:p>
    <w:bookmarkEnd w:id="132"/>
    <w:bookmarkStart w:id="134" w:name="ref-chinnadurai_increased_2019-1"/>
    <w:p>
      <w:pPr>
        <w:pStyle w:val="Bibliography"/>
      </w:pPr>
      <w:r>
        <w:t xml:space="preserve">[53]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33">
        <w:r>
          <w:rPr>
            <w:rStyle w:val="Hyperlink"/>
          </w:rPr>
          <w:t xml:space="preserve">10.1159/000493472</w:t>
        </w:r>
      </w:hyperlink>
      <w:r>
        <w:t xml:space="preserve">.</w:t>
      </w:r>
    </w:p>
    <w:bookmarkEnd w:id="134"/>
    <w:bookmarkStart w:id="136" w:name="ref-levey_new_2009"/>
    <w:p>
      <w:pPr>
        <w:pStyle w:val="Bibliography"/>
      </w:pPr>
      <w:r>
        <w:t xml:space="preserve">[54]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35">
        <w:r>
          <w:rPr>
            <w:rStyle w:val="Hyperlink"/>
          </w:rPr>
          <w:t xml:space="preserve">10.7326/0003-4819-150-9-200905050-00006</w:t>
        </w:r>
      </w:hyperlink>
      <w:r>
        <w:t xml:space="preserve">.</w:t>
      </w:r>
    </w:p>
    <w:bookmarkEnd w:id="136"/>
    <w:bookmarkStart w:id="138" w:name="ref-new_obtaining_2014"/>
    <w:p>
      <w:pPr>
        <w:pStyle w:val="Bibliography"/>
      </w:pPr>
      <w:r>
        <w:t xml:space="preserve">[55]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37">
        <w:r>
          <w:rPr>
            <w:rStyle w:val="Hyperlink"/>
          </w:rPr>
          <w:t xml:space="preserve">http://dx.doi.org/10.1136/thoraxjnl-2014-205259</w:t>
        </w:r>
      </w:hyperlink>
      <w:r>
        <w:t xml:space="preserve">.</w:t>
      </w:r>
    </w:p>
    <w:bookmarkEnd w:id="138"/>
    <w:bookmarkStart w:id="140" w:name="ref-matsushita_cohort_2013"/>
    <w:p>
      <w:pPr>
        <w:pStyle w:val="Bibliography"/>
      </w:pPr>
      <w:r>
        <w:t xml:space="preserve">[56]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39">
        <w:r>
          <w:rPr>
            <w:rStyle w:val="Hyperlink"/>
          </w:rPr>
          <w:t xml:space="preserve">10.1093/ije/dys173</w:t>
        </w:r>
      </w:hyperlink>
      <w:r>
        <w:t xml:space="preserve">.</w:t>
      </w:r>
    </w:p>
    <w:bookmarkEnd w:id="140"/>
    <w:bookmarkStart w:id="142" w:name="ref-forni_renal_2017-1"/>
    <w:p>
      <w:pPr>
        <w:pStyle w:val="Bibliography"/>
      </w:pPr>
      <w:r>
        <w:t xml:space="preserve">[57]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41">
        <w:r>
          <w:rPr>
            <w:rStyle w:val="Hyperlink"/>
          </w:rPr>
          <w:t xml:space="preserve">10.1007/s00134-017-4809-x</w:t>
        </w:r>
      </w:hyperlink>
      <w:r>
        <w:t xml:space="preserve">.</w:t>
      </w:r>
    </w:p>
    <w:bookmarkEnd w:id="142"/>
    <w:bookmarkStart w:id="143" w:name="ref-noauthor_kdigo_2012"/>
    <w:p>
      <w:pPr>
        <w:pStyle w:val="Bibliography"/>
      </w:pPr>
      <w:r>
        <w:t xml:space="preserve">[58] “KDIGO Clinical Practice Guideline for Acute Kidney Injury,”</w:t>
      </w:r>
      <w:r>
        <w:t xml:space="preserve"> </w:t>
      </w:r>
      <w:r>
        <w:rPr>
          <w:i/>
        </w:rPr>
        <w:t xml:space="preserve">OFFICIAL JOURNAL OF THE INTERNATIONAL SOCIETY OF NEPHROLOGY</w:t>
      </w:r>
      <w:r>
        <w:t xml:space="preserve">, p. 141, 2012.</w:t>
      </w:r>
    </w:p>
    <w:bookmarkEnd w:id="143"/>
    <w:bookmarkStart w:id="145" w:name="ref-white_imputing_2009"/>
    <w:p>
      <w:pPr>
        <w:pStyle w:val="Bibliography"/>
      </w:pPr>
      <w:r>
        <w:t xml:space="preserve">[59]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44">
        <w:r>
          <w:rPr>
            <w:rStyle w:val="Hyperlink"/>
          </w:rPr>
          <w:t xml:space="preserve">10.1002/sim.3618</w:t>
        </w:r>
      </w:hyperlink>
      <w:r>
        <w:t xml:space="preserve">.</w:t>
      </w:r>
    </w:p>
    <w:bookmarkEnd w:id="145"/>
    <w:bookmarkStart w:id="147" w:name="ref-janssen_dealing_2009"/>
    <w:p>
      <w:pPr>
        <w:pStyle w:val="Bibliography"/>
      </w:pPr>
      <w:r>
        <w:t xml:space="preserve">[60]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46">
        <w:r>
          <w:rPr>
            <w:rStyle w:val="Hyperlink"/>
          </w:rPr>
          <w:t xml:space="preserve">10.1373/clinchem.2008.115345</w:t>
        </w:r>
      </w:hyperlink>
      <w:r>
        <w:t xml:space="preserve">.</w:t>
      </w:r>
    </w:p>
    <w:bookmarkEnd w:id="147"/>
    <w:bookmarkStart w:id="148" w:name="ref-r_core_team_r_nodate"/>
    <w:p>
      <w:pPr>
        <w:pStyle w:val="Bibliography"/>
      </w:pPr>
      <w:r>
        <w:t xml:space="preserve">[61] R. C. Team, “R: A Language and Environment for Statistical Computing.” R Foundation for Statistical Computing, Vienna, Austria, Vienna,</w:t>
      </w:r>
    </w:p>
    <w:bookmarkEnd w:id="148"/>
    <w:bookmarkStart w:id="149" w:name="ref-wickham_tidy_2017"/>
    <w:p>
      <w:pPr>
        <w:pStyle w:val="Bibliography"/>
      </w:pPr>
      <w:r>
        <w:t xml:space="preserve">[62] H. Wickham, “The tidy tools manifesto.” https://cran.r-project.org/web/packages/tidyverse/vignettes/manifesto.html, Nov-2017.</w:t>
      </w:r>
    </w:p>
    <w:bookmarkEnd w:id="149"/>
    <w:bookmarkStart w:id="151" w:name="ref-buuren_mice_2011-1"/>
    <w:p>
      <w:pPr>
        <w:pStyle w:val="Bibliography"/>
      </w:pPr>
      <w:r>
        <w:t xml:space="preserve">[63]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50">
        <w:r>
          <w:rPr>
            <w:rStyle w:val="Hyperlink"/>
          </w:rPr>
          <w:t xml:space="preserve">10.18637/jss.v045.i03</w:t>
        </w:r>
      </w:hyperlink>
      <w:r>
        <w:t xml:space="preserve">.</w:t>
      </w:r>
    </w:p>
    <w:bookmarkEnd w:id="151"/>
    <w:bookmarkStart w:id="152" w:name="ref-jackson_flexsurv_nodate"/>
    <w:p>
      <w:pPr>
        <w:pStyle w:val="Bibliography"/>
      </w:pPr>
      <w:r>
        <w:t xml:space="preserve">[64] C. Jackson, “Flexsurv: A Platform for Parametric Survival Modelling in R,” p. 33.</w:t>
      </w:r>
    </w:p>
    <w:bookmarkEnd w:id="152"/>
    <w:bookmarkStart w:id="153" w:name="ref-ripley_package_2016"/>
    <w:p>
      <w:pPr>
        <w:pStyle w:val="Bibliography"/>
      </w:pPr>
      <w:r>
        <w:t xml:space="preserve">[65] B. Ripley and W. Venables, “Package ’nnet’,” Feb-2016.</w:t>
      </w:r>
    </w:p>
    <w:bookmarkEnd w:id="153"/>
    <w:bookmarkStart w:id="154" w:name="ref-vaughan_furrr_2018"/>
    <w:p>
      <w:pPr>
        <w:pStyle w:val="Bibliography"/>
      </w:pPr>
      <w:r>
        <w:t xml:space="preserve">[66] D. Vaughan and M. Dancho, “Furrr: Apply Mapping Functions in Parallel using Futures.” May-2018.</w:t>
      </w:r>
    </w:p>
    <w:bookmarkEnd w:id="154"/>
    <w:bookmarkStart w:id="156" w:name="ref-venkat-raman_new_2012"/>
    <w:p>
      <w:pPr>
        <w:pStyle w:val="Bibliography"/>
      </w:pPr>
      <w:r>
        <w:t xml:space="preserve">[67]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55">
        <w:r>
          <w:rPr>
            <w:rStyle w:val="Hyperlink"/>
          </w:rPr>
          <w:t xml:space="preserve">10.1093/ndt/gfs461</w:t>
        </w:r>
      </w:hyperlink>
      <w:r>
        <w:t xml:space="preserve">.</w:t>
      </w:r>
    </w:p>
    <w:bookmarkEnd w:id="156"/>
    <w:bookmarkStart w:id="158" w:name="ref-kovesdy_past_2016"/>
    <w:p>
      <w:pPr>
        <w:pStyle w:val="Bibliography"/>
      </w:pPr>
      <w:r>
        <w:t xml:space="preserve">[68]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57">
        <w:r>
          <w:rPr>
            <w:rStyle w:val="Hyperlink"/>
          </w:rPr>
          <w:t xml:space="preserve">10.1681/ASN.2015060687</w:t>
        </w:r>
      </w:hyperlink>
      <w:r>
        <w:t xml:space="preserve">.</w:t>
      </w:r>
    </w:p>
    <w:bookmarkEnd w:id="158"/>
    <w:bookmarkStart w:id="160" w:name="ref-naimark_past_2016"/>
    <w:p>
      <w:pPr>
        <w:pStyle w:val="Bibliography"/>
      </w:pPr>
      <w:r>
        <w:t xml:space="preserve">[69]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59">
        <w:r>
          <w:rPr>
            <w:rStyle w:val="Hyperlink"/>
          </w:rPr>
          <w:t xml:space="preserve">10.1681/ASN.2015060688</w:t>
        </w:r>
      </w:hyperlink>
      <w:r>
        <w:t xml:space="preserve">.</w:t>
      </w:r>
    </w:p>
    <w:bookmarkEnd w:id="160"/>
    <w:bookmarkStart w:id="162" w:name="ref-royston_flexible_2002"/>
    <w:p>
      <w:pPr>
        <w:pStyle w:val="Bibliography"/>
      </w:pPr>
      <w:r>
        <w:t xml:space="preserve">[70]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61">
        <w:r>
          <w:rPr>
            <w:rStyle w:val="Hyperlink"/>
          </w:rPr>
          <w:t xml:space="preserve">10.1002/sim.1203</w:t>
        </w:r>
      </w:hyperlink>
      <w:r>
        <w:t xml:space="preserve">.</w:t>
      </w:r>
    </w:p>
    <w:bookmarkEnd w:id="162"/>
    <w:bookmarkStart w:id="164" w:name="ref-putter_tutorial_2007"/>
    <w:p>
      <w:pPr>
        <w:pStyle w:val="Bibliography"/>
      </w:pPr>
      <w:r>
        <w:t xml:space="preserve">[71]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63">
        <w:r>
          <w:rPr>
            <w:rStyle w:val="Hyperlink"/>
          </w:rPr>
          <w:t xml:space="preserve">10.1002/sim.2712</w:t>
        </w:r>
      </w:hyperlink>
      <w:r>
        <w:t xml:space="preserve">.</w:t>
      </w:r>
    </w:p>
    <w:bookmarkEnd w:id="164"/>
    <w:bookmarkStart w:id="166" w:name="ref-wood_how_2008"/>
    <w:p>
      <w:pPr>
        <w:pStyle w:val="Bibliography"/>
      </w:pPr>
      <w:r>
        <w:t xml:space="preserve">[72]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65">
        <w:r>
          <w:rPr>
            <w:rStyle w:val="Hyperlink"/>
          </w:rPr>
          <w:t xml:space="preserve">10.1002/sim.3177</w:t>
        </w:r>
      </w:hyperlink>
      <w:r>
        <w:t xml:space="preserve">.</w:t>
      </w:r>
    </w:p>
    <w:bookmarkEnd w:id="166"/>
    <w:bookmarkStart w:id="167" w:name="ref-rubin_multiple_1984"/>
    <w:p>
      <w:pPr>
        <w:pStyle w:val="Bibliography"/>
      </w:pPr>
      <w:r>
        <w:t xml:space="preserve">[73] D. B. Rubin,</w:t>
      </w:r>
      <w:r>
        <w:t xml:space="preserve"> </w:t>
      </w:r>
      <w:r>
        <w:rPr>
          <w:i/>
        </w:rPr>
        <w:t xml:space="preserve">Multiple Imputation for Nonresponse in Surveys</w:t>
      </w:r>
      <w:r>
        <w:t xml:space="preserve">. New York, NY: John Wiley &amp; Sons, Inc, 1984.</w:t>
      </w:r>
    </w:p>
    <w:bookmarkEnd w:id="167"/>
    <w:bookmarkStart w:id="169" w:name="ref-calster_extending_2012-1"/>
    <w:p>
      <w:pPr>
        <w:pStyle w:val="Bibliography"/>
      </w:pPr>
      <w:r>
        <w:t xml:space="preserve">[74]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68">
        <w:r>
          <w:rPr>
            <w:rStyle w:val="Hyperlink"/>
          </w:rPr>
          <w:t xml:space="preserve">10.1002/sim.5321</w:t>
        </w:r>
      </w:hyperlink>
      <w:r>
        <w:t xml:space="preserve">.</w:t>
      </w:r>
    </w:p>
    <w:bookmarkEnd w:id="169"/>
    <w:bookmarkStart w:id="171" w:name="ref-hoorde_assessing_2014"/>
    <w:p>
      <w:pPr>
        <w:pStyle w:val="Bibliography"/>
      </w:pPr>
      <w:r>
        <w:t xml:space="preserve">[75]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70">
        <w:r>
          <w:rPr>
            <w:rStyle w:val="Hyperlink"/>
          </w:rPr>
          <w:t xml:space="preserve">10.1002/sim.6114</w:t>
        </w:r>
      </w:hyperlink>
      <w:r>
        <w:t xml:space="preserve">.</w:t>
      </w:r>
    </w:p>
    <w:bookmarkEnd w:id="171"/>
    <w:bookmarkStart w:id="172" w:name="ref-riley_prognosis_2019"/>
    <w:p>
      <w:pPr>
        <w:pStyle w:val="Bibliography"/>
      </w:pPr>
      <w:r>
        <w:t xml:space="preserve">[76] R. D. Riley, D. van der Windt, P. Croft, and K. G. M. Moons,</w:t>
      </w:r>
      <w:r>
        <w:t xml:space="preserve"> </w:t>
      </w:r>
      <w:r>
        <w:rPr>
          <w:i/>
        </w:rPr>
        <w:t xml:space="preserve">Prognosis Research in Healthcare: Concepts, Methods, and Impact</w:t>
      </w:r>
      <w:r>
        <w:t xml:space="preserve">, First. Oxford University Press, 2019.</w:t>
      </w:r>
    </w:p>
    <w:bookmarkEnd w:id="172"/>
    <w:bookmarkEnd w:id="173"/>
    <w:sectPr>
      <w:pgSz w:h="16834" w:w="11909"/>
      <w:pgMar w:bottom="873.0708661417325" w:top="873.0708661417325" w:left="873.0708661417325" w:right="873.0708661417325"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spacing w:after="120" w:before="360" w:lineRule="auto"/>
    </w:pPr>
    <w:rPr>
      <w:color w:val="4a86e8"/>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color w:val="4a86e8"/>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1/jama.2011.451" TargetMode="External" /><Relationship Type="http://schemas.openxmlformats.org/officeDocument/2006/relationships/hyperlink" Id="rId65" Target="https://doi.org/10.1001/jama.293.14.1737" TargetMode="External" /><Relationship Type="http://schemas.openxmlformats.org/officeDocument/2006/relationships/hyperlink" Id="rId114" Target="https://doi.org/10.1002/nur.20107" TargetMode="External" /><Relationship Type="http://schemas.openxmlformats.org/officeDocument/2006/relationships/hyperlink" Id="rId161" Target="https://doi.org/10.1002/sim.1203" TargetMode="External" /><Relationship Type="http://schemas.openxmlformats.org/officeDocument/2006/relationships/hyperlink" Id="rId116" Target="https://doi.org/10.1002/sim.2331" TargetMode="External" /><Relationship Type="http://schemas.openxmlformats.org/officeDocument/2006/relationships/hyperlink" Id="rId163" Target="https://doi.org/10.1002/sim.2712" TargetMode="External" /><Relationship Type="http://schemas.openxmlformats.org/officeDocument/2006/relationships/hyperlink" Id="rId165" Target="https://doi.org/10.1002/sim.3177" TargetMode="External" /><Relationship Type="http://schemas.openxmlformats.org/officeDocument/2006/relationships/hyperlink" Id="rId144" Target="https://doi.org/10.1002/sim.3618" TargetMode="External" /><Relationship Type="http://schemas.openxmlformats.org/officeDocument/2006/relationships/hyperlink" Id="rId168" Target="https://doi.org/10.1002/sim.5321" TargetMode="External" /><Relationship Type="http://schemas.openxmlformats.org/officeDocument/2006/relationships/hyperlink" Id="rId170" Target="https://doi.org/10.1002/sim.6114" TargetMode="External" /><Relationship Type="http://schemas.openxmlformats.org/officeDocument/2006/relationships/hyperlink" Id="rId141" Target="https://doi.org/10.1007/s00134-017-4809-x" TargetMode="External" /><Relationship Type="http://schemas.openxmlformats.org/officeDocument/2006/relationships/hyperlink" Id="rId69" Target="https://doi.org/10.1016/j.ahj.2011.07.016" TargetMode="External" /><Relationship Type="http://schemas.openxmlformats.org/officeDocument/2006/relationships/hyperlink" Id="rId124" Target="https://doi.org/10.1016/j.ajog.2013.09.042" TargetMode="External" /><Relationship Type="http://schemas.openxmlformats.org/officeDocument/2006/relationships/hyperlink" Id="rId67" Target="https://doi.org/10.1016/j.jacc.2007.03.037" TargetMode="External" /><Relationship Type="http://schemas.openxmlformats.org/officeDocument/2006/relationships/hyperlink" Id="rId118" Target="https://doi.org/10.1016/j.jclinepi.2008.10.010" TargetMode="External" /><Relationship Type="http://schemas.openxmlformats.org/officeDocument/2006/relationships/hyperlink" Id="rId87" Target="https://doi.org/10.1016/j.jhep.2014.03.034" TargetMode="External" /><Relationship Type="http://schemas.openxmlformats.org/officeDocument/2006/relationships/hyperlink" Id="rId89" Target="https://doi.org/10.1016/j.kint.2018.01.009" TargetMode="External" /><Relationship Type="http://schemas.openxmlformats.org/officeDocument/2006/relationships/hyperlink" Id="rId110" Target="https://doi.org/10.1016/j.prp.2007.12.002" TargetMode="External" /><Relationship Type="http://schemas.openxmlformats.org/officeDocument/2006/relationships/hyperlink" Id="rId53" Target="https://doi.org/10.1038/ki.2014.419" TargetMode="External" /><Relationship Type="http://schemas.openxmlformats.org/officeDocument/2006/relationships/hyperlink" Id="rId71" Target="https://doi.org/10.1038/nrneph.2012.248" TargetMode="External" /><Relationship Type="http://schemas.openxmlformats.org/officeDocument/2006/relationships/hyperlink" Id="rId37" Target="https://doi.org/10.1053/j.ajkd.2007.07.006" TargetMode="External" /><Relationship Type="http://schemas.openxmlformats.org/officeDocument/2006/relationships/hyperlink" Id="rId47" Target="https://doi.org/10.1053/j.ajkd.2008.04.026" TargetMode="External" /><Relationship Type="http://schemas.openxmlformats.org/officeDocument/2006/relationships/hyperlink" Id="rId131" Target="https://doi.org/10.1053/j.ajkd.2010.06.010" TargetMode="External" /><Relationship Type="http://schemas.openxmlformats.org/officeDocument/2006/relationships/hyperlink" Id="rId39" Target="https://doi.org/10.1053/j.ajkd.2010.07.016" TargetMode="External" /><Relationship Type="http://schemas.openxmlformats.org/officeDocument/2006/relationships/hyperlink" Id="rId63" Target="https://doi.org/10.1053/j.ajkd.2016.07.030" TargetMode="External" /><Relationship Type="http://schemas.openxmlformats.org/officeDocument/2006/relationships/hyperlink" Id="rId45" Target="https://doi.org/10.1053/j.ajkd.2016.08.035" TargetMode="External" /><Relationship Type="http://schemas.openxmlformats.org/officeDocument/2006/relationships/hyperlink" Id="rId139" Target="https://doi.org/10.1093/ije/dys173" TargetMode="External" /><Relationship Type="http://schemas.openxmlformats.org/officeDocument/2006/relationships/hyperlink" Id="rId81" Target="https://doi.org/10.1093/jamia/ocv024" TargetMode="External" /><Relationship Type="http://schemas.openxmlformats.org/officeDocument/2006/relationships/hyperlink" Id="rId93" Target="https://doi.org/10.1093/jnci/86.11.829" TargetMode="External" /><Relationship Type="http://schemas.openxmlformats.org/officeDocument/2006/relationships/hyperlink" Id="rId155" Target="https://doi.org/10.1093/ndt/gfs461" TargetMode="External" /><Relationship Type="http://schemas.openxmlformats.org/officeDocument/2006/relationships/hyperlink" Id="rId43" Target="https://doi.org/10.1093/ndt/gfv089" TargetMode="External" /><Relationship Type="http://schemas.openxmlformats.org/officeDocument/2006/relationships/hyperlink" Id="rId91" Target="https://doi.org/10.1093/oxfordjournals.aje.a117020" TargetMode="External" /><Relationship Type="http://schemas.openxmlformats.org/officeDocument/2006/relationships/hyperlink" Id="rId108" Target="https://doi.org/10.1111/test.12006" TargetMode="External" /><Relationship Type="http://schemas.openxmlformats.org/officeDocument/2006/relationships/hyperlink" Id="rId100" Target="https://doi.org/10.1136/bjophthalmol-2014-304930" TargetMode="External" /><Relationship Type="http://schemas.openxmlformats.org/officeDocument/2006/relationships/hyperlink" Id="rId95" Target="https://doi.org/10.1136/bmj.332.7549.1080" TargetMode="External" /><Relationship Type="http://schemas.openxmlformats.org/officeDocument/2006/relationships/hyperlink" Id="rId129" Target="https://doi.org/10.1136/bmj.b604" TargetMode="External" /><Relationship Type="http://schemas.openxmlformats.org/officeDocument/2006/relationships/hyperlink" Id="rId127" Target="https://doi.org/10.1136/bmj.b605" TargetMode="External" /><Relationship Type="http://schemas.openxmlformats.org/officeDocument/2006/relationships/hyperlink" Id="rId122" Target="https://doi.org/10.1159/000126908" TargetMode="External" /><Relationship Type="http://schemas.openxmlformats.org/officeDocument/2006/relationships/hyperlink" Id="rId35" Target="https://doi.org/10.1159/000490959" TargetMode="External" /><Relationship Type="http://schemas.openxmlformats.org/officeDocument/2006/relationships/hyperlink" Id="rId33" Target="https://doi.org/10.1159/000490960" TargetMode="External" /><Relationship Type="http://schemas.openxmlformats.org/officeDocument/2006/relationships/hyperlink" Id="rId133" Target="https://doi.org/10.1159/000493472" TargetMode="External" /><Relationship Type="http://schemas.openxmlformats.org/officeDocument/2006/relationships/hyperlink" Id="rId102" Target="https://doi.org/10.1177/0272989X12437605" TargetMode="External" /><Relationship Type="http://schemas.openxmlformats.org/officeDocument/2006/relationships/hyperlink" Id="rId85" Target="https://doi.org/10.1177/0272989X12466731" TargetMode="External" /><Relationship Type="http://schemas.openxmlformats.org/officeDocument/2006/relationships/hyperlink" Id="rId120" Target="https://doi.org/10.1177/070674370204700307" TargetMode="External" /><Relationship Type="http://schemas.openxmlformats.org/officeDocument/2006/relationships/hyperlink" Id="rId97" Target="https://doi.org/10.1186/1471-2288-12-21" TargetMode="External" /><Relationship Type="http://schemas.openxmlformats.org/officeDocument/2006/relationships/hyperlink" Id="rId55" Target="https://doi.org/10.1186/1471-2369-14-258" TargetMode="External" /><Relationship Type="http://schemas.openxmlformats.org/officeDocument/2006/relationships/hyperlink" Id="rId77" Target="https://doi.org/10.1186/s12916-014-0241-z" TargetMode="External" /><Relationship Type="http://schemas.openxmlformats.org/officeDocument/2006/relationships/hyperlink" Id="rId104" Target="https://doi.org/10.1300/J045v08n01_06" TargetMode="External" /><Relationship Type="http://schemas.openxmlformats.org/officeDocument/2006/relationships/hyperlink" Id="rId79" Target="https://doi.org/10.1371/journal.pmed.1001221" TargetMode="External" /><Relationship Type="http://schemas.openxmlformats.org/officeDocument/2006/relationships/hyperlink" Id="rId83" Target="https://doi.org/10.1371/journal.pmed.1001381" TargetMode="External" /><Relationship Type="http://schemas.openxmlformats.org/officeDocument/2006/relationships/hyperlink" Id="rId51" Target="https://doi.org/10.1371/journal.pone.0190277" TargetMode="External" /><Relationship Type="http://schemas.openxmlformats.org/officeDocument/2006/relationships/hyperlink" Id="rId146" Target="https://doi.org/10.1373/clinchem.2008.115345" TargetMode="External" /><Relationship Type="http://schemas.openxmlformats.org/officeDocument/2006/relationships/hyperlink" Id="rId106" Target="https://doi.org/10.1509/jmkr.40.3.366.19237" TargetMode="External" /><Relationship Type="http://schemas.openxmlformats.org/officeDocument/2006/relationships/hyperlink" Id="rId157" Target="https://doi.org/10.1681/ASN.2015060687" TargetMode="External" /><Relationship Type="http://schemas.openxmlformats.org/officeDocument/2006/relationships/hyperlink" Id="rId159" Target="https://doi.org/10.1681/ASN.2015060688" TargetMode="External" /><Relationship Type="http://schemas.openxmlformats.org/officeDocument/2006/relationships/hyperlink" Id="rId150" Target="https://doi.org/10.18637/jss.v045.i03" TargetMode="External" /><Relationship Type="http://schemas.openxmlformats.org/officeDocument/2006/relationships/hyperlink" Id="rId75" Target="https://doi.org/10.2147/CLEP.S139748" TargetMode="External" /><Relationship Type="http://schemas.openxmlformats.org/officeDocument/2006/relationships/hyperlink" Id="rId49" Target="https://doi.org/10.2215/CJN.01290216" TargetMode="External" /><Relationship Type="http://schemas.openxmlformats.org/officeDocument/2006/relationships/hyperlink" Id="rId41" Target="https://doi.org/10.2215/CJN.04650514" TargetMode="External" /><Relationship Type="http://schemas.openxmlformats.org/officeDocument/2006/relationships/hyperlink" Id="rId61" Target="https://doi.org/10.2215/CJN.06210616" TargetMode="External" /><Relationship Type="http://schemas.openxmlformats.org/officeDocument/2006/relationships/hyperlink" Id="rId112" Target="https://doi.org/10.3174/ajnr.A2425" TargetMode="External" /><Relationship Type="http://schemas.openxmlformats.org/officeDocument/2006/relationships/hyperlink" Id="rId57" Target="https://doi.org/10.7150/ijms.11694" TargetMode="External" /><Relationship Type="http://schemas.openxmlformats.org/officeDocument/2006/relationships/hyperlink" Id="rId135" Target="https://doi.org/10.7326/0003-4819-150-9-200905050-00006" TargetMode="External" /><Relationship Type="http://schemas.openxmlformats.org/officeDocument/2006/relationships/hyperlink" Id="rId73" Target="https://doi.org/10.7326/0003-4819-158-8-201304160-00004" TargetMode="External" /><Relationship Type="http://schemas.openxmlformats.org/officeDocument/2006/relationships/hyperlink" Id="rId137" Target="https://doi.org/http://dx.doi.org/10.1136/thoraxjnl-2014-205259"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_rels/footnotes.xml.rels><?xml version="1.0" encoding="UTF-8"?>
<Relationships xmlns="http://schemas.openxmlformats.org/package/2006/relationships"><Relationship Type="http://schemas.openxmlformats.org/officeDocument/2006/relationships/hyperlink" Id="rId59" Target="https://doi.org/10.1001/jama.2011.451" TargetMode="External" /><Relationship Type="http://schemas.openxmlformats.org/officeDocument/2006/relationships/hyperlink" Id="rId65" Target="https://doi.org/10.1001/jama.293.14.1737" TargetMode="External" /><Relationship Type="http://schemas.openxmlformats.org/officeDocument/2006/relationships/hyperlink" Id="rId114" Target="https://doi.org/10.1002/nur.20107" TargetMode="External" /><Relationship Type="http://schemas.openxmlformats.org/officeDocument/2006/relationships/hyperlink" Id="rId161" Target="https://doi.org/10.1002/sim.1203" TargetMode="External" /><Relationship Type="http://schemas.openxmlformats.org/officeDocument/2006/relationships/hyperlink" Id="rId116" Target="https://doi.org/10.1002/sim.2331" TargetMode="External" /><Relationship Type="http://schemas.openxmlformats.org/officeDocument/2006/relationships/hyperlink" Id="rId163" Target="https://doi.org/10.1002/sim.2712" TargetMode="External" /><Relationship Type="http://schemas.openxmlformats.org/officeDocument/2006/relationships/hyperlink" Id="rId165" Target="https://doi.org/10.1002/sim.3177" TargetMode="External" /><Relationship Type="http://schemas.openxmlformats.org/officeDocument/2006/relationships/hyperlink" Id="rId144" Target="https://doi.org/10.1002/sim.3618" TargetMode="External" /><Relationship Type="http://schemas.openxmlformats.org/officeDocument/2006/relationships/hyperlink" Id="rId168" Target="https://doi.org/10.1002/sim.5321" TargetMode="External" /><Relationship Type="http://schemas.openxmlformats.org/officeDocument/2006/relationships/hyperlink" Id="rId170" Target="https://doi.org/10.1002/sim.6114" TargetMode="External" /><Relationship Type="http://schemas.openxmlformats.org/officeDocument/2006/relationships/hyperlink" Id="rId141" Target="https://doi.org/10.1007/s00134-017-4809-x" TargetMode="External" /><Relationship Type="http://schemas.openxmlformats.org/officeDocument/2006/relationships/hyperlink" Id="rId69" Target="https://doi.org/10.1016/j.ahj.2011.07.016" TargetMode="External" /><Relationship Type="http://schemas.openxmlformats.org/officeDocument/2006/relationships/hyperlink" Id="rId124" Target="https://doi.org/10.1016/j.ajog.2013.09.042" TargetMode="External" /><Relationship Type="http://schemas.openxmlformats.org/officeDocument/2006/relationships/hyperlink" Id="rId67" Target="https://doi.org/10.1016/j.jacc.2007.03.037" TargetMode="External" /><Relationship Type="http://schemas.openxmlformats.org/officeDocument/2006/relationships/hyperlink" Id="rId118" Target="https://doi.org/10.1016/j.jclinepi.2008.10.010" TargetMode="External" /><Relationship Type="http://schemas.openxmlformats.org/officeDocument/2006/relationships/hyperlink" Id="rId87" Target="https://doi.org/10.1016/j.jhep.2014.03.034" TargetMode="External" /><Relationship Type="http://schemas.openxmlformats.org/officeDocument/2006/relationships/hyperlink" Id="rId89" Target="https://doi.org/10.1016/j.kint.2018.01.009" TargetMode="External" /><Relationship Type="http://schemas.openxmlformats.org/officeDocument/2006/relationships/hyperlink" Id="rId110" Target="https://doi.org/10.1016/j.prp.2007.12.002" TargetMode="External" /><Relationship Type="http://schemas.openxmlformats.org/officeDocument/2006/relationships/hyperlink" Id="rId53" Target="https://doi.org/10.1038/ki.2014.419" TargetMode="External" /><Relationship Type="http://schemas.openxmlformats.org/officeDocument/2006/relationships/hyperlink" Id="rId71" Target="https://doi.org/10.1038/nrneph.2012.248" TargetMode="External" /><Relationship Type="http://schemas.openxmlformats.org/officeDocument/2006/relationships/hyperlink" Id="rId37" Target="https://doi.org/10.1053/j.ajkd.2007.07.006" TargetMode="External" /><Relationship Type="http://schemas.openxmlformats.org/officeDocument/2006/relationships/hyperlink" Id="rId47" Target="https://doi.org/10.1053/j.ajkd.2008.04.026" TargetMode="External" /><Relationship Type="http://schemas.openxmlformats.org/officeDocument/2006/relationships/hyperlink" Id="rId131" Target="https://doi.org/10.1053/j.ajkd.2010.06.010" TargetMode="External" /><Relationship Type="http://schemas.openxmlformats.org/officeDocument/2006/relationships/hyperlink" Id="rId39" Target="https://doi.org/10.1053/j.ajkd.2010.07.016" TargetMode="External" /><Relationship Type="http://schemas.openxmlformats.org/officeDocument/2006/relationships/hyperlink" Id="rId63" Target="https://doi.org/10.1053/j.ajkd.2016.07.030" TargetMode="External" /><Relationship Type="http://schemas.openxmlformats.org/officeDocument/2006/relationships/hyperlink" Id="rId45" Target="https://doi.org/10.1053/j.ajkd.2016.08.035" TargetMode="External" /><Relationship Type="http://schemas.openxmlformats.org/officeDocument/2006/relationships/hyperlink" Id="rId139" Target="https://doi.org/10.1093/ije/dys173" TargetMode="External" /><Relationship Type="http://schemas.openxmlformats.org/officeDocument/2006/relationships/hyperlink" Id="rId81" Target="https://doi.org/10.1093/jamia/ocv024" TargetMode="External" /><Relationship Type="http://schemas.openxmlformats.org/officeDocument/2006/relationships/hyperlink" Id="rId93" Target="https://doi.org/10.1093/jnci/86.11.829" TargetMode="External" /><Relationship Type="http://schemas.openxmlformats.org/officeDocument/2006/relationships/hyperlink" Id="rId155" Target="https://doi.org/10.1093/ndt/gfs461" TargetMode="External" /><Relationship Type="http://schemas.openxmlformats.org/officeDocument/2006/relationships/hyperlink" Id="rId43" Target="https://doi.org/10.1093/ndt/gfv089" TargetMode="External" /><Relationship Type="http://schemas.openxmlformats.org/officeDocument/2006/relationships/hyperlink" Id="rId91" Target="https://doi.org/10.1093/oxfordjournals.aje.a117020" TargetMode="External" /><Relationship Type="http://schemas.openxmlformats.org/officeDocument/2006/relationships/hyperlink" Id="rId108" Target="https://doi.org/10.1111/test.12006" TargetMode="External" /><Relationship Type="http://schemas.openxmlformats.org/officeDocument/2006/relationships/hyperlink" Id="rId100" Target="https://doi.org/10.1136/bjophthalmol-2014-304930" TargetMode="External" /><Relationship Type="http://schemas.openxmlformats.org/officeDocument/2006/relationships/hyperlink" Id="rId95" Target="https://doi.org/10.1136/bmj.332.7549.1080" TargetMode="External" /><Relationship Type="http://schemas.openxmlformats.org/officeDocument/2006/relationships/hyperlink" Id="rId129" Target="https://doi.org/10.1136/bmj.b604" TargetMode="External" /><Relationship Type="http://schemas.openxmlformats.org/officeDocument/2006/relationships/hyperlink" Id="rId127" Target="https://doi.org/10.1136/bmj.b605" TargetMode="External" /><Relationship Type="http://schemas.openxmlformats.org/officeDocument/2006/relationships/hyperlink" Id="rId122" Target="https://doi.org/10.1159/000126908" TargetMode="External" /><Relationship Type="http://schemas.openxmlformats.org/officeDocument/2006/relationships/hyperlink" Id="rId35" Target="https://doi.org/10.1159/000490959" TargetMode="External" /><Relationship Type="http://schemas.openxmlformats.org/officeDocument/2006/relationships/hyperlink" Id="rId33" Target="https://doi.org/10.1159/000490960" TargetMode="External" /><Relationship Type="http://schemas.openxmlformats.org/officeDocument/2006/relationships/hyperlink" Id="rId133" Target="https://doi.org/10.1159/000493472" TargetMode="External" /><Relationship Type="http://schemas.openxmlformats.org/officeDocument/2006/relationships/hyperlink" Id="rId102" Target="https://doi.org/10.1177/0272989X12437605" TargetMode="External" /><Relationship Type="http://schemas.openxmlformats.org/officeDocument/2006/relationships/hyperlink" Id="rId85" Target="https://doi.org/10.1177/0272989X12466731" TargetMode="External" /><Relationship Type="http://schemas.openxmlformats.org/officeDocument/2006/relationships/hyperlink" Id="rId120" Target="https://doi.org/10.1177/070674370204700307" TargetMode="External" /><Relationship Type="http://schemas.openxmlformats.org/officeDocument/2006/relationships/hyperlink" Id="rId97" Target="https://doi.org/10.1186/1471-2288-12-21" TargetMode="External" /><Relationship Type="http://schemas.openxmlformats.org/officeDocument/2006/relationships/hyperlink" Id="rId55" Target="https://doi.org/10.1186/1471-2369-14-258" TargetMode="External" /><Relationship Type="http://schemas.openxmlformats.org/officeDocument/2006/relationships/hyperlink" Id="rId77" Target="https://doi.org/10.1186/s12916-014-0241-z" TargetMode="External" /><Relationship Type="http://schemas.openxmlformats.org/officeDocument/2006/relationships/hyperlink" Id="rId104" Target="https://doi.org/10.1300/J045v08n01_06" TargetMode="External" /><Relationship Type="http://schemas.openxmlformats.org/officeDocument/2006/relationships/hyperlink" Id="rId79" Target="https://doi.org/10.1371/journal.pmed.1001221" TargetMode="External" /><Relationship Type="http://schemas.openxmlformats.org/officeDocument/2006/relationships/hyperlink" Id="rId83" Target="https://doi.org/10.1371/journal.pmed.1001381" TargetMode="External" /><Relationship Type="http://schemas.openxmlformats.org/officeDocument/2006/relationships/hyperlink" Id="rId51" Target="https://doi.org/10.1371/journal.pone.0190277" TargetMode="External" /><Relationship Type="http://schemas.openxmlformats.org/officeDocument/2006/relationships/hyperlink" Id="rId146" Target="https://doi.org/10.1373/clinchem.2008.115345" TargetMode="External" /><Relationship Type="http://schemas.openxmlformats.org/officeDocument/2006/relationships/hyperlink" Id="rId106" Target="https://doi.org/10.1509/jmkr.40.3.366.19237" TargetMode="External" /><Relationship Type="http://schemas.openxmlformats.org/officeDocument/2006/relationships/hyperlink" Id="rId157" Target="https://doi.org/10.1681/ASN.2015060687" TargetMode="External" /><Relationship Type="http://schemas.openxmlformats.org/officeDocument/2006/relationships/hyperlink" Id="rId159" Target="https://doi.org/10.1681/ASN.2015060688" TargetMode="External" /><Relationship Type="http://schemas.openxmlformats.org/officeDocument/2006/relationships/hyperlink" Id="rId150" Target="https://doi.org/10.18637/jss.v045.i03" TargetMode="External" /><Relationship Type="http://schemas.openxmlformats.org/officeDocument/2006/relationships/hyperlink" Id="rId75" Target="https://doi.org/10.2147/CLEP.S139748" TargetMode="External" /><Relationship Type="http://schemas.openxmlformats.org/officeDocument/2006/relationships/hyperlink" Id="rId49" Target="https://doi.org/10.2215/CJN.01290216" TargetMode="External" /><Relationship Type="http://schemas.openxmlformats.org/officeDocument/2006/relationships/hyperlink" Id="rId41" Target="https://doi.org/10.2215/CJN.04650514" TargetMode="External" /><Relationship Type="http://schemas.openxmlformats.org/officeDocument/2006/relationships/hyperlink" Id="rId61" Target="https://doi.org/10.2215/CJN.06210616" TargetMode="External" /><Relationship Type="http://schemas.openxmlformats.org/officeDocument/2006/relationships/hyperlink" Id="rId112" Target="https://doi.org/10.3174/ajnr.A2425" TargetMode="External" /><Relationship Type="http://schemas.openxmlformats.org/officeDocument/2006/relationships/hyperlink" Id="rId57" Target="https://doi.org/10.7150/ijms.11694" TargetMode="External" /><Relationship Type="http://schemas.openxmlformats.org/officeDocument/2006/relationships/hyperlink" Id="rId135" Target="https://doi.org/10.7326/0003-4819-150-9-200905050-00006" TargetMode="External" /><Relationship Type="http://schemas.openxmlformats.org/officeDocument/2006/relationships/hyperlink" Id="rId73" Target="https://doi.org/10.7326/0003-4819-158-8-201304160-00004" TargetMode="External" /><Relationship Type="http://schemas.openxmlformats.org/officeDocument/2006/relationships/hyperlink" Id="rId137" Target="https://doi.org/http://dx.doi.org/10.1136/thoraxjnl-2014-205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2020-03-09T15:47:21Z</dcterms:created>
  <dcterms:modified xsi:type="dcterms:W3CDTF">2020-03-09T15:47:21Z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
  </property>
</Properties>
</file>