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1.3</w:t>
        <w:tab/>
        <w:t xml:space="preserve">Таблица</w:t>
      </w:r>
      <w:r/>
    </w:p>
    <w:p>
      <w:pPr>
        <w:ind w:left="0" w:right="0" w:firstLine="709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 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grandParent("w", "w", GrandParent, "Marina").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/>
    </w:p>
    <w:tbl>
      <w:tblPr>
        <w:tblStyle w:val="734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3543"/>
        <w:gridCol w:w="3260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Состояние резольвенты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Сравниваемые термы (1); результат (2);  подстановка, если есть (3)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Прямой ход или откат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</w:p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(к чему приводит?)</w:t>
            </w:r>
            <w:r/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grandParent( "w", "w", GrandParent, "Marina").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grandParent("w", "w", GrandParent, "Marina")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parent("w", "Irina",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"Marina").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82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2-6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1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grandParent("w", "w", GrandParent, "Marina")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grandParent(Side, Sex, GrandParent, Child)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{Side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Sex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GrandParent = GrandParent, Child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"}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  <w:p>
            <w:pPr>
              <w:pStyle w:val="882"/>
              <w:numPr>
                <w:ilvl w:val="0"/>
                <w:numId w:val="28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grandParent("w", "w", GrandParent, "Marina")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parent(Side, Parent, Child),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parent(Sex, GrandParent, Parent).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  <w:p>
            <w:pPr>
              <w:pStyle w:val="882"/>
              <w:numPr>
                <w:ilvl w:val="0"/>
                <w:numId w:val="28"/>
              </w:numPr>
              <w:ind w:left="283" w:right="0" w:hanging="283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Parent).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8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Parent).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parent("w", "Irina", 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"Marina")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{Side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Sex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GrandParent = GrandParent, Child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Parent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pStyle w:val="882"/>
              <w:numPr>
                <w:ilvl w:val="0"/>
                <w:numId w:val="31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 нет тела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882"/>
              <w:numPr>
                <w:ilvl w:val="0"/>
                <w:numId w:val="31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9-10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parent("w"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/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"Irina"/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"Dmitry"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"Marina")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</w:t>
            </w:r>
            <w:r>
              <w:rPr>
                <w:sz w:val="20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parent("w", "Valentina", "Irina").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{Side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Sex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GrandParent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"Valentina"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Child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</w:t>
              <w:br/>
              <w:t xml:space="preserve">Parent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pStyle w:val="882"/>
              <w:numPr>
                <w:ilvl w:val="0"/>
                <w:numId w:val="33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 нет тела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882"/>
              <w:numPr>
                <w:ilvl w:val="0"/>
                <w:numId w:val="33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12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—</w:t>
            </w:r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right="-358" w:firstLine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ind w:left="0" w:right="-358" w:firstLine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ind w:left="0" w:right="-358" w:firstLine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резольветы в конце шага 10.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ind w:left="0" w:right="-74" w:firstLine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</w:tc>
      </w:tr>
      <w:tr>
        <w:trPr>
          <w:trHeight w:val="282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13-15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..., ..., ...).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</w:tc>
      </w:tr>
      <w:tr>
        <w:trPr>
          <w:trHeight w:val="1134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16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"Irina"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Конец базы знаний</w:t>
            </w:r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358" w:firstLine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ind w:left="0" w:right="-358" w:firstLine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ind w:left="0" w:right="-358" w:firstLine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резольветы в конце шага 7.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ind w:left="0" w:right="-74" w:firstLine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Parent).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17-21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Parent).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..., ..., ...).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r/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22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Parent).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grandParent(Side, Sex, GrandParent, Child).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23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Parent,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"Marina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parent(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GrandParent, Parent).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Конец базы знаний.</w:t>
            </w:r>
            <w:r>
              <w:rPr>
                <w:sz w:val="20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резольветы в конце шага 6.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:</w:t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grandParent("w", "w", GrandParent, "Marina").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24</w:t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grandParent( "w", "w", GrandParent, "Marina").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—</w:t>
            </w:r>
            <w:r>
              <w:rPr>
                <w:sz w:val="20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 резольвенте исходный вопрос.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Вся база знаний пройдена.</w:t>
            </w:r>
            <w:r/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Работа системы остановлена.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одно решение:</w:t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GrandParent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"Valentina"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</w:tbl>
    <w:p>
      <w:pPr>
        <w:tabs>
          <w:tab w:val="left" w:pos="1932" w:leader="none"/>
        </w:tabs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567" w:bottom="1134" w:left="1701" w:header="709" w:footer="680" w:gutter="0"/>
      <w:pgNumType w:start="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  <w:jc w:val="center"/>
      <w:rPr>
        <w:rFonts w:ascii="Times New Roman" w:hAnsi="Times New Roman" w:cs="Times New Roman" w:eastAsia="Times New Roman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rFonts w:ascii="Times New Roman" w:hAnsi="Times New Roman" w:cs="Times New Roman" w:eastAsia="Times New Roman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3">
    <w:name w:val="Heading 1 Char"/>
    <w:link w:val="702"/>
    <w:uiPriority w:val="9"/>
    <w:rPr>
      <w:rFonts w:ascii="Arial" w:hAnsi="Arial" w:cs="Arial" w:eastAsia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5">
    <w:name w:val="Heading 2 Char"/>
    <w:link w:val="704"/>
    <w:uiPriority w:val="9"/>
    <w:rPr>
      <w:rFonts w:ascii="Arial" w:hAnsi="Arial" w:cs="Arial" w:eastAsia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7">
    <w:name w:val="Heading 3 Char"/>
    <w:link w:val="706"/>
    <w:uiPriority w:val="9"/>
    <w:rPr>
      <w:rFonts w:ascii="Arial" w:hAnsi="Arial" w:cs="Arial" w:eastAsia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9">
    <w:name w:val="Heading 4 Char"/>
    <w:link w:val="708"/>
    <w:uiPriority w:val="9"/>
    <w:rPr>
      <w:rFonts w:ascii="Arial" w:hAnsi="Arial" w:cs="Arial" w:eastAsia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1">
    <w:name w:val="Heading 5 Char"/>
    <w:link w:val="710"/>
    <w:uiPriority w:val="9"/>
    <w:rPr>
      <w:rFonts w:ascii="Arial" w:hAnsi="Arial" w:cs="Arial" w:eastAsia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3">
    <w:name w:val="Heading 6 Char"/>
    <w:link w:val="712"/>
    <w:uiPriority w:val="9"/>
    <w:rPr>
      <w:rFonts w:ascii="Arial" w:hAnsi="Arial" w:cs="Arial" w:eastAsia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7">
    <w:name w:val="Heading 8 Char"/>
    <w:link w:val="716"/>
    <w:uiPriority w:val="9"/>
    <w:rPr>
      <w:rFonts w:ascii="Arial" w:hAnsi="Arial" w:cs="Arial" w:eastAsia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9">
    <w:name w:val="Heading 9 Char"/>
    <w:link w:val="718"/>
    <w:uiPriority w:val="9"/>
    <w:rPr>
      <w:rFonts w:ascii="Arial" w:hAnsi="Arial" w:cs="Arial" w:eastAsia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paragraph" w:styleId="728">
    <w:name w:val="Header"/>
    <w:basedOn w:val="878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Header Char"/>
    <w:link w:val="728"/>
    <w:uiPriority w:val="99"/>
  </w:style>
  <w:style w:type="paragraph" w:styleId="730">
    <w:name w:val="Footer"/>
    <w:basedOn w:val="878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Footer Char"/>
    <w:link w:val="730"/>
    <w:uiPriority w:val="99"/>
  </w:style>
  <w:style w:type="paragraph" w:styleId="732">
    <w:name w:val="Caption"/>
    <w:basedOn w:val="878"/>
    <w:next w:val="8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</w:style>
  <w:style w:type="table" w:styleId="734">
    <w:name w:val="Table Grid"/>
    <w:basedOn w:val="8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4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6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8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9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6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7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8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9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0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1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8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9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0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1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2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3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6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7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9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1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2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3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4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5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6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7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8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9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1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5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8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2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4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5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6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7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8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9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>
    <w:name w:val="Footnote Text Char"/>
    <w:link w:val="861"/>
    <w:uiPriority w:val="99"/>
    <w:rPr>
      <w:sz w:val="18"/>
    </w:rPr>
  </w:style>
  <w:style w:type="character" w:styleId="863">
    <w:name w:val="footnote reference"/>
    <w:uiPriority w:val="99"/>
    <w:unhideWhenUsed/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>
    <w:name w:val="Endnote Text Char"/>
    <w:link w:val="864"/>
    <w:uiPriority w:val="99"/>
    <w:rPr>
      <w:sz w:val="20"/>
    </w:rPr>
  </w:style>
  <w:style w:type="character" w:styleId="866">
    <w:name w:val="endnote reference"/>
    <w:uiPriority w:val="99"/>
    <w:semiHidden/>
    <w:unhideWhenUsed/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ind w:left="0" w:right="0" w:firstLine="0"/>
      <w:spacing w:after="57"/>
    </w:pPr>
  </w:style>
  <w:style w:type="paragraph" w:styleId="868">
    <w:name w:val="toc 2"/>
    <w:basedOn w:val="878"/>
    <w:next w:val="878"/>
    <w:uiPriority w:val="39"/>
    <w:unhideWhenUsed/>
    <w:pPr>
      <w:ind w:left="283" w:right="0" w:firstLine="0"/>
      <w:spacing w:after="57"/>
    </w:pPr>
  </w:style>
  <w:style w:type="paragraph" w:styleId="869">
    <w:name w:val="toc 3"/>
    <w:basedOn w:val="878"/>
    <w:next w:val="878"/>
    <w:uiPriority w:val="39"/>
    <w:unhideWhenUsed/>
    <w:pPr>
      <w:ind w:left="567" w:right="0" w:firstLine="0"/>
      <w:spacing w:after="57"/>
    </w:pPr>
  </w:style>
  <w:style w:type="paragraph" w:styleId="870">
    <w:name w:val="toc 4"/>
    <w:basedOn w:val="878"/>
    <w:next w:val="878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78"/>
    <w:next w:val="878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78"/>
    <w:next w:val="878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78"/>
    <w:next w:val="878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78"/>
    <w:next w:val="878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78"/>
    <w:next w:val="878"/>
    <w:uiPriority w:val="39"/>
    <w:unhideWhenUsed/>
    <w:pPr>
      <w:ind w:left="2268" w:right="0" w:firstLine="0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878"/>
    <w:next w:val="878"/>
    <w:uiPriority w:val="99"/>
    <w:unhideWhenUsed/>
    <w:pPr>
      <w:spacing w:after="0" w:afterAutospacing="0"/>
    </w:pPr>
  </w:style>
  <w:style w:type="paragraph" w:styleId="878" w:default="1">
    <w:name w:val="Normal"/>
    <w:qFormat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>
    <w:name w:val="No Spacing"/>
    <w:basedOn w:val="878"/>
    <w:uiPriority w:val="1"/>
    <w:qFormat/>
    <w:pPr>
      <w:spacing w:after="0" w:line="240" w:lineRule="auto"/>
    </w:pPr>
  </w:style>
  <w:style w:type="paragraph" w:styleId="882">
    <w:name w:val="List Paragraph"/>
    <w:basedOn w:val="878"/>
    <w:uiPriority w:val="34"/>
    <w:qFormat/>
    <w:pPr>
      <w:contextualSpacing/>
      <w:ind w:left="720"/>
    </w:pPr>
  </w:style>
  <w:style w:type="character" w:styleId="8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2022-05-17T14:42:17Z</dcterms:modified>
</cp:coreProperties>
</file>