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300"/>
        <w:ind w:end="170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cs="Times New Roman"/>
          <w:sz w:val="24"/>
        </w:rPr>
        <w:t>文件修订履历</w:t>
      </w:r>
    </w:p>
    <w:tbl>
      <w:tblPr>
        <w:tblW w:w="8214" w:type="dxa"/>
        <w:jc w:val="start"/>
        <w:tblInd w:w="70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42"/>
        <w:gridCol w:w="3588"/>
        <w:gridCol w:w="1705"/>
        <w:gridCol w:w="1679"/>
      </w:tblGrid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版本</w:t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修订理由与内容简述</w:t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修订日期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拟定</w:t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</w:tbl>
    <w:p>
      <w:pPr>
        <w:pStyle w:val="Normal"/>
        <w:widowControl w:val="false"/>
        <w:spacing w:lineRule="auto" w:line="300"/>
        <w:ind w:firstLineChars="100" w:startChars="0" w:start="0" w:endChars="0" w:end="0"/>
        <w:rPr>
          <w:rFonts w:ascii="Times New Roman" w:hAnsi="Times New Roman" w:eastAsia="宋体" w:cs="Times New Roman"/>
          <w:sz w:val="24"/>
        </w:rPr>
      </w:pPr>
      <w:r>
        <w:rPr>
          <w:rFonts w:eastAsia="宋体" w:cs="Times New Roman" w:ascii="Times New Roman" w:hAnsi="Times New Roman"/>
          <w:sz w:val="24"/>
        </w:rPr>
      </w:r>
    </w:p>
    <w:tbl>
      <w:tblPr>
        <w:tblW w:w="8314" w:type="dxa"/>
        <w:jc w:val="start"/>
        <w:tblInd w:w="65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52"/>
        <w:gridCol w:w="3500"/>
        <w:gridCol w:w="2562"/>
      </w:tblGrid>
      <w:tr>
        <w:trPr>
          <w:trHeight w:val="751" w:hRule="atLeast"/>
          <w:cantSplit/>
        </w:trPr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00"/>
              <w:ind w:end="170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制  定：</w:t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256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发行副本章：</w:t>
            </w:r>
          </w:p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907" w:hRule="atLeast"/>
          <w:cantSplit/>
        </w:trPr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00"/>
              <w:ind w:end="170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审  核：</w:t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2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00"/>
              <w:ind w:end="170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核  准：</w:t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2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</w:tbl>
    <w:p>
      <w:pPr>
        <w:pStyle w:val="Normal"/>
        <w:spacing w:lineRule="exact" w:line="360"/>
        <w:ind w:end="258"/>
        <w:rPr>
          <w:rFonts w:ascii="Times New Roman" w:hAnsi="Times New Roman" w:eastAsia="宋体" w:cs="Times New Roman"/>
          <w:sz w:val="24"/>
        </w:rPr>
      </w:pPr>
      <w:r>
        <w:rPr>
          <w:rFonts w:eastAsia="宋体" w:cs="Times New Roman" w:ascii="Times New Roman" w:hAnsi="Times New Roman"/>
          <w:sz w:val="24"/>
        </w:rPr>
      </w:r>
    </w:p>
    <w:p>
      <w:pPr>
        <w:pStyle w:val="Normal"/>
        <w:spacing w:lineRule="exact" w:line="360"/>
        <w:ind w:end="258"/>
        <w:rPr>
          <w:rFonts w:ascii="Times New Roman" w:hAnsi="Times New Roman" w:eastAsia="宋体" w:cs="Times New Roman"/>
          <w:sz w:val="24"/>
        </w:rPr>
      </w:pPr>
      <w:r>
        <w:rPr>
          <w:rFonts w:eastAsia="宋体" w:cs="Times New Roman" w:ascii="Times New Roman" w:hAnsi="Times New Roman"/>
          <w:sz w:val="24"/>
        </w:rPr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100" w:startChars="0" w:start="0" w:endChars="201"/>
        <w:textAlignment w:val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  <w:t xml:space="preserve">1 </w:t>
      </w:r>
      <w:r>
        <w:rPr>
          <w:rFonts w:ascii="Times New Roman" w:hAnsi="Times New Roman" w:cs="Times New Roman"/>
          <w:bCs/>
          <w:sz w:val="24"/>
          <w:szCs w:val="24"/>
        </w:rPr>
        <w:t>目的</w:t>
      </w:r>
    </w:p>
    <w:p>
      <w:pPr>
        <w:pStyle w:val="Style19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Chars="0" w:firstLine="0" w:endChars="0" w:end="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明确来料检验的工作方式、方法及控制流程，确保来料品质满足规范要求，并能有效根据流程实施控制。 </w:t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100" w:startChars="0" w:start="0" w:endChars="201"/>
        <w:textAlignment w:val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  <w:t xml:space="preserve">2 </w:t>
      </w:r>
      <w:r>
        <w:rPr>
          <w:rFonts w:ascii="Times New Roman" w:hAnsi="Times New Roman" w:cs="Times New Roman"/>
          <w:bCs/>
          <w:sz w:val="24"/>
          <w:szCs w:val="24"/>
        </w:rPr>
        <w:t>范围</w:t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0" w:firstLine="0" w:startChars="0" w:start="0" w:endChars="201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 w:ascii="Times New Roman" w:hAnsi="Times New Roman"/>
          <w:b/>
          <w:sz w:val="24"/>
          <w:szCs w:val="24"/>
        </w:rPr>
        <w:t xml:space="preserve"> </w:t>
      </w:r>
      <w:r>
        <w:rPr>
          <w:rFonts w:eastAsia="宋体" w:cs="Times New Roman"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>适用于银嘉</w:t>
      </w:r>
      <w:r>
        <w:rPr>
          <w:rFonts w:eastAsia="宋体" w:cs="Times New Roman" w:ascii="Times New Roman" w:hAnsi="Times New Roman"/>
          <w:bCs/>
          <w:sz w:val="24"/>
          <w:szCs w:val="24"/>
        </w:rPr>
        <w:t>Y</w:t>
      </w:r>
      <w:r>
        <w:rPr>
          <w:rFonts w:ascii="Times New Roman" w:hAnsi="Times New Roman" w:cs="Times New Roman"/>
          <w:bCs/>
          <w:sz w:val="24"/>
          <w:szCs w:val="24"/>
        </w:rPr>
        <w:t>料原料及成品的质量检验工作</w:t>
      </w:r>
      <w:r>
        <w:rPr>
          <w:rFonts w:ascii="Times New Roman" w:hAnsi="Times New Roman" w:cs="Times New Roman"/>
          <w:sz w:val="24"/>
          <w:szCs w:val="24"/>
        </w:rPr>
        <w:t>。</w:t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100" w:startChars="0" w:start="0" w:endChars="201"/>
        <w:textAlignment w:val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  <w:t xml:space="preserve">3 </w:t>
      </w:r>
      <w:r>
        <w:rPr>
          <w:rFonts w:ascii="Times New Roman" w:hAnsi="Times New Roman" w:cs="Times New Roman"/>
          <w:bCs/>
          <w:sz w:val="24"/>
          <w:szCs w:val="24"/>
        </w:rPr>
        <w:t>职责和权限</w:t>
      </w:r>
    </w:p>
    <w:p>
      <w:pPr>
        <w:pStyle w:val="Style19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Chars="0" w:firstLine="0" w:endChars="0" w:end="0"/>
        <w:textAlignment w:val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本规范的实施者是品质部，品质部严格落实本规范，对实施过程及检验结果负责，并直接向总经理汇报。</w:t>
      </w:r>
    </w:p>
    <w:p>
      <w:pPr>
        <w:pStyle w:val="Style19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Chars="0" w:firstLine="0" w:endChars="0" w:end="0"/>
        <w:textAlignment w:val="auto"/>
        <w:rPr>
          <w:rFonts w:ascii="Times New Roman" w:hAnsi="Times New Roman" w:eastAsia="宋体" w:cs="Times New Roman"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Cs/>
          <w:sz w:val="24"/>
          <w:szCs w:val="24"/>
        </w:rPr>
        <w:t>对于本规范未能涵盖的特殊性形，品质部根据总经理授权进行处理。</w:t>
      </w:r>
      <w:r>
        <w:rPr>
          <w:rFonts w:ascii="Times New Roman" w:hAnsi="Times New Roman" w:cs="Times New Roman"/>
          <w:bCs/>
          <w:sz w:val="24"/>
          <w:szCs w:val="24"/>
        </w:rPr>
        <w:t>对于本规范未能涵盖的特殊性形，品质部根据总经理授权进行处理。</w:t>
      </w:r>
    </w:p>
    <w:p>
      <w:pPr>
        <w:pStyle w:val="Style19"/>
        <w:widowControl w:val="false"/>
        <w:overflowPunct w:val="true"/>
        <w:autoSpaceDE w:val="true"/>
        <w:spacing w:lineRule="auto" w:line="360"/>
        <w:ind w:firstLineChars="0" w:firstLine="0" w:endChars="0" w:end="0"/>
        <w:textAlignment w:val="auto"/>
        <w:rPr>
          <w:rFonts w:ascii="Times New Roman" w:hAnsi="Times New Roman" w:eastAsia="宋体" w:cs="Times New Roman"/>
          <w:bCs/>
          <w:sz w:val="24"/>
          <w:szCs w:val="24"/>
          <w:highlight w:val="none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  <w:t xml:space="preserve">  </w:t>
      </w:r>
      <w:r>
        <w:rPr>
          <w:rFonts w:eastAsia="宋体" w:cs="Times New Roman" w:ascii="Times New Roman" w:hAnsi="Times New Roman"/>
          <w:bCs/>
          <w:sz w:val="24"/>
          <w:szCs w:val="24"/>
        </w:rPr>
        <w:t xml:space="preserve">4 </w:t>
      </w:r>
      <w:r>
        <w:rPr>
          <w:rFonts w:ascii="Times New Roman" w:hAnsi="Times New Roman" w:cs="Times New Roman"/>
          <w:bCs/>
          <w:sz w:val="24"/>
          <w:szCs w:val="24"/>
        </w:rPr>
        <w:t>取样要求</w:t>
      </w:r>
    </w:p>
    <w:p>
      <w:pPr>
        <w:pStyle w:val="Style19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360"/>
        <w:ind w:firstLineChars="100" w:startChars="0" w:start="0" w:endChars="0" w:end="0"/>
        <w:textAlignment w:val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  <w:t xml:space="preserve">4.1 </w:t>
      </w:r>
      <w:r>
        <w:rPr>
          <w:rFonts w:ascii="Times New Roman" w:hAnsi="Times New Roman" w:cs="Times New Roman"/>
          <w:bCs/>
          <w:sz w:val="24"/>
          <w:szCs w:val="24"/>
        </w:rPr>
        <w:t>每</w:t>
      </w:r>
      <w:r>
        <w:rPr>
          <w:rFonts w:eastAsia="宋体" w:cs="Times New Roman" w:ascii="Times New Roman" w:hAnsi="Times New Roman"/>
          <w:bCs/>
          <w:sz w:val="24"/>
          <w:szCs w:val="24"/>
        </w:rPr>
        <w:t>50kg</w:t>
      </w:r>
      <w:r>
        <w:rPr>
          <w:rFonts w:ascii="Times New Roman" w:hAnsi="Times New Roman" w:cs="Times New Roman"/>
          <w:bCs/>
          <w:sz w:val="24"/>
          <w:szCs w:val="24"/>
        </w:rPr>
        <w:t>原料取样</w:t>
      </w:r>
      <w:r>
        <w:rPr>
          <w:rFonts w:eastAsia="宋体" w:cs="Times New Roman" w:ascii="Times New Roman" w:hAnsi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bCs/>
          <w:sz w:val="24"/>
          <w:szCs w:val="24"/>
        </w:rPr>
        <w:t>个，每个样品</w:t>
      </w:r>
      <w:r>
        <w:rPr>
          <w:rFonts w:eastAsia="宋体" w:cs="Times New Roman" w:ascii="Times New Roman" w:hAnsi="Times New Roman"/>
          <w:bCs/>
          <w:sz w:val="24"/>
          <w:szCs w:val="24"/>
        </w:rPr>
        <w:t>200g</w:t>
      </w:r>
    </w:p>
    <w:p>
      <w:pPr>
        <w:pStyle w:val="Style19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360"/>
        <w:ind w:firstLineChars="100" w:startChars="0" w:start="0" w:endChars="0" w:end="0"/>
        <w:textAlignment w:val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  <w:t xml:space="preserve">4.2 </w:t>
      </w:r>
      <w:r>
        <w:rPr>
          <w:rFonts w:ascii="Times New Roman" w:hAnsi="Times New Roman" w:cs="Times New Roman"/>
          <w:bCs/>
          <w:sz w:val="24"/>
          <w:szCs w:val="24"/>
        </w:rPr>
        <w:t>每</w:t>
      </w:r>
      <w:r>
        <w:rPr>
          <w:rFonts w:eastAsia="宋体" w:cs="Times New Roman" w:ascii="Times New Roman" w:hAnsi="Times New Roman"/>
          <w:bCs/>
          <w:sz w:val="24"/>
          <w:szCs w:val="24"/>
        </w:rPr>
        <w:t>50kg</w:t>
      </w:r>
      <w:r>
        <w:rPr>
          <w:rFonts w:ascii="Times New Roman" w:hAnsi="Times New Roman" w:cs="Times New Roman"/>
          <w:bCs/>
          <w:sz w:val="24"/>
          <w:szCs w:val="24"/>
        </w:rPr>
        <w:t>成品取样</w:t>
      </w:r>
      <w:r>
        <w:rPr>
          <w:rFonts w:eastAsia="宋体" w:cs="Times New Roman" w:ascii="Times New Roman" w:hAnsi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bCs/>
          <w:sz w:val="24"/>
          <w:szCs w:val="24"/>
        </w:rPr>
        <w:t>个，每个样品</w:t>
      </w:r>
      <w:r>
        <w:rPr>
          <w:rFonts w:eastAsia="宋体" w:cs="Times New Roman" w:ascii="Times New Roman" w:hAnsi="Times New Roman"/>
          <w:bCs/>
          <w:sz w:val="24"/>
          <w:szCs w:val="24"/>
        </w:rPr>
        <w:t xml:space="preserve">200g  </w:t>
      </w:r>
    </w:p>
    <w:p>
      <w:pPr>
        <w:pStyle w:val="Style19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360"/>
        <w:ind w:firstLineChars="100" w:startChars="0" w:start="0" w:endChars="0" w:end="0"/>
        <w:textAlignment w:val="auto"/>
        <w:rPr>
          <w:rFonts w:ascii="Times New Roman" w:hAnsi="Times New Roman" w:eastAsia="宋体" w:cs="Times New Roman"/>
          <w:bCs/>
          <w:sz w:val="28"/>
          <w:szCs w:val="28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  <w:t>5</w:t>
      </w:r>
      <w:r>
        <w:rPr>
          <w:rFonts w:ascii="Times New Roman" w:hAnsi="Times New Roman" w:cs="Times New Roman"/>
          <w:bCs/>
          <w:sz w:val="24"/>
          <w:szCs w:val="24"/>
        </w:rPr>
        <w:t>工作程序</w:t>
      </w:r>
      <w:r>
        <w:rPr>
          <w:rFonts w:ascii="Times New Roman" w:hAnsi="Times New Roman" w:cs="Times New Roman"/>
          <w:bCs/>
          <w:sz w:val="28"/>
          <w:szCs w:val="28"/>
        </w:rPr>
        <w:t xml:space="preserve">    </w:t>
      </w:r>
    </w:p>
    <w:p>
      <w:pPr>
        <w:pStyle w:val="Style19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360"/>
        <w:ind w:firstLineChars="0" w:firstLine="0" w:startChars="120" w:endChars="0" w:end="0"/>
        <w:textAlignment w:val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原料仓库收货后即通知品质部进行来料检验，品质部根据本规范进行检验作业，并填写《来料检验报告》，如果检验合格，则通知仓管将来料入库，如果检验不合格，则填写《来料品质问题反馈单》，发给采购部，由采购部推动供应商解决问题。</w:t>
      </w:r>
    </w:p>
    <w:p>
      <w:pPr>
        <w:pStyle w:val="Style19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360"/>
        <w:ind w:firstLineChars="0" w:firstLine="0" w:startChars="120" w:endChars="0" w:end="0"/>
        <w:textAlignment w:val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</w:r>
    </w:p>
    <w:p>
      <w:pPr>
        <w:pStyle w:val="Style19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360"/>
        <w:ind w:firstLineChars="0" w:firstLine="0" w:startChars="120" w:endChars="0" w:end="0"/>
        <w:textAlignment w:val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</w:r>
    </w:p>
    <w:p>
      <w:pPr>
        <w:pStyle w:val="Style19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360"/>
        <w:ind w:hangingChars="0" w:hanging="0" w:start="0"/>
        <w:textAlignment w:val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</w:r>
    </w:p>
    <w:p>
      <w:pPr>
        <w:pStyle w:val="Style19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360"/>
        <w:ind w:hangingChars="0" w:hanging="0" w:start="0"/>
        <w:textAlignment w:val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</w:r>
    </w:p>
    <w:p>
      <w:pPr>
        <w:pStyle w:val="Style19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360"/>
        <w:ind w:hangingChars="0" w:hanging="0" w:start="0"/>
        <w:textAlignment w:val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</w:r>
    </w:p>
    <w:p>
      <w:pPr>
        <w:pStyle w:val="Style19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360"/>
        <w:ind w:hangingChars="0" w:hanging="0" w:start="0"/>
        <w:textAlignment w:val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</w:r>
    </w:p>
    <w:p>
      <w:pPr>
        <w:pStyle w:val="Style19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360"/>
        <w:ind w:hangingChars="0" w:hanging="0" w:start="0"/>
        <w:textAlignment w:val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</w:r>
    </w:p>
    <w:p>
      <w:pPr>
        <w:pStyle w:val="Style19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360"/>
        <w:ind w:hangingChars="0" w:hanging="0" w:start="0"/>
        <w:textAlignment w:val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</w:r>
    </w:p>
    <w:p>
      <w:pPr>
        <w:pStyle w:val="Style19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360"/>
        <w:ind w:hangingChars="0" w:hanging="0" w:start="0"/>
        <w:textAlignment w:val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</w:r>
    </w:p>
    <w:p>
      <w:pPr>
        <w:pStyle w:val="Style19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360"/>
        <w:ind w:hangingChars="0" w:hanging="0" w:start="0"/>
        <w:textAlignment w:val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</w:r>
    </w:p>
    <w:p>
      <w:pPr>
        <w:pStyle w:val="Normal"/>
        <w:spacing w:lineRule="auto" w:line="360"/>
        <w:ind w:firstLineChars="100" w:startChars="0" w:start="0" w:endChars="0" w:end="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  <w:t xml:space="preserve">6 </w:t>
      </w:r>
      <w:r>
        <w:rPr>
          <w:rFonts w:ascii="Times New Roman" w:hAnsi="Times New Roman" w:cs="Times New Roman"/>
          <w:bCs/>
          <w:sz w:val="24"/>
          <w:szCs w:val="24"/>
        </w:rPr>
        <w:t>检验项目</w:t>
      </w:r>
    </w:p>
    <w:p>
      <w:pPr>
        <w:pStyle w:val="Normal"/>
        <w:spacing w:lineRule="auto" w:line="360"/>
        <w:ind w:firstLineChars="100" w:startChars="0" w:start="0" w:endChars="0" w:end="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  <w:t xml:space="preserve">6.1 </w:t>
      </w:r>
      <w:r>
        <w:rPr>
          <w:rFonts w:ascii="Times New Roman" w:hAnsi="Times New Roman" w:cs="Times New Roman"/>
          <w:bCs/>
          <w:sz w:val="24"/>
          <w:szCs w:val="24"/>
        </w:rPr>
        <w:t>原料（</w:t>
      </w:r>
      <w:r>
        <w:rPr>
          <w:rStyle w:val="PageNumber"/>
          <w:rFonts w:eastAsia="宋体" w:cs="Times New Roman" w:ascii="Times New Roman" w:hAnsi="Times New Roman"/>
          <w:bCs/>
          <w:sz w:val="24"/>
          <w:szCs w:val="24"/>
        </w:rPr>
        <w:t>Y-CAS-23</w:t>
      </w:r>
      <w:r>
        <w:rPr>
          <w:rFonts w:ascii="Times New Roman" w:hAnsi="Times New Roman" w:cs="Times New Roman"/>
          <w:bCs/>
          <w:sz w:val="24"/>
          <w:szCs w:val="24"/>
        </w:rPr>
        <w:t>）</w:t>
      </w:r>
    </w:p>
    <w:tbl>
      <w:tblPr>
        <w:tblW w:w="910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52"/>
        <w:gridCol w:w="1500"/>
        <w:gridCol w:w="2385"/>
        <w:gridCol w:w="3865"/>
      </w:tblGrid>
      <w:tr>
        <w:trPr>
          <w:trHeight w:val="476" w:hRule="atLeast"/>
        </w:trPr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检验项目</w:t>
            </w:r>
          </w:p>
        </w:tc>
        <w:tc>
          <w:tcPr>
            <w:tcW w:w="77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接受标准及方法</w:t>
            </w:r>
          </w:p>
        </w:tc>
      </w:tr>
      <w:tr>
        <w:trPr>
          <w:trHeight w:val="2342" w:hRule="atLeast"/>
        </w:trPr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性能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称料：</w:t>
            </w:r>
          </w:p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40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g</w:t>
            </w:r>
          </w:p>
        </w:tc>
        <w:tc>
          <w:tcPr>
            <w:tcW w:w="2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余氯去除率≥</w:t>
            </w: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80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%</w:t>
            </w:r>
          </w:p>
        </w:tc>
        <w:tc>
          <w:tcPr>
            <w:tcW w:w="3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hanging="0" w:start="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1.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称取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40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 xml:space="preserve">g 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原料封装小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T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筒，进出水端用海绵压实；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hanging="0" w:start="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2.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纯水加次氯酸钠加标，余氯含量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2±0.2ppm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；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hanging="0" w:start="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3.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流速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2L/min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，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冲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2min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取样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测试余氯去除率。</w:t>
            </w:r>
          </w:p>
        </w:tc>
      </w:tr>
      <w:tr>
        <w:trPr>
          <w:trHeight w:val="2342" w:hRule="atLeast"/>
        </w:trPr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卫生安全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称料：</w:t>
            </w:r>
          </w:p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 w:hint="eastAsia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10g</w:t>
            </w:r>
          </w:p>
        </w:tc>
        <w:tc>
          <w:tcPr>
            <w:tcW w:w="2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镉增加量≤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0.0005mg/L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铅增加量≤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0.001mg/L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铬增加量≤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0.005mg/L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铁增加量≤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0.06mg/L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锰增加量≤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0.04mg/L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铝增加量≤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0.02mg/L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铜增加量≤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0.2mg/L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锌增加量≤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0.2mg/L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银增加量≤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0.005mg/L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砷增加量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0.00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1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镍增加量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0.00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2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mg/L</w:t>
            </w:r>
          </w:p>
        </w:tc>
        <w:tc>
          <w:tcPr>
            <w:tcW w:w="3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hanging="0" w:start="0"/>
              <w:jc w:val="start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1.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取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10g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来料，加入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100ml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浸泡液润洗两次，加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100ml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浸泡液浸泡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24h±1h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，中速滤纸过滤；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firstLineChars="0" w:firstLine="0" w:startChars="0" w:start="0" w:endChars="0" w:end="0"/>
              <w:jc w:val="start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2.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用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icp-ms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测试离子含量。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</w:t>
      </w:r>
      <w:r>
        <w:rPr>
          <w:rFonts w:cs="Times New Roman" w:ascii="Times New Roman" w:hAnsi="Times New Roman"/>
          <w:sz w:val="24"/>
          <w:szCs w:val="24"/>
        </w:rPr>
        <w:t xml:space="preserve">6.2 </w:t>
      </w:r>
      <w:r>
        <w:rPr>
          <w:rFonts w:ascii="Times New Roman" w:hAnsi="Times New Roman" w:cs="Times New Roman"/>
          <w:sz w:val="24"/>
          <w:szCs w:val="24"/>
        </w:rPr>
        <w:t>成品（</w:t>
      </w:r>
      <w:r>
        <w:rPr>
          <w:rFonts w:cs="Times New Roman" w:ascii="Times New Roman" w:hAnsi="Times New Roman"/>
          <w:sz w:val="24"/>
          <w:szCs w:val="24"/>
        </w:rPr>
        <w:t>CAS-18</w:t>
      </w:r>
      <w:r>
        <w:rPr>
          <w:rFonts w:ascii="Times New Roman" w:hAnsi="Times New Roman" w:cs="Times New Roman"/>
          <w:sz w:val="24"/>
          <w:szCs w:val="24"/>
        </w:rPr>
        <w:t>）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</w:t>
      </w:r>
    </w:p>
    <w:tbl>
      <w:tblPr>
        <w:tblW w:w="910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52"/>
        <w:gridCol w:w="1470"/>
        <w:gridCol w:w="2430"/>
        <w:gridCol w:w="3850"/>
      </w:tblGrid>
      <w:tr>
        <w:trPr>
          <w:trHeight w:val="476" w:hRule="atLeast"/>
        </w:trPr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检验项目</w:t>
            </w:r>
          </w:p>
        </w:tc>
        <w:tc>
          <w:tcPr>
            <w:tcW w:w="77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接受标准及方法</w:t>
            </w:r>
          </w:p>
        </w:tc>
      </w:tr>
      <w:tr>
        <w:trPr>
          <w:trHeight w:val="1442" w:hRule="atLeast"/>
        </w:trPr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目数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称料：</w:t>
            </w:r>
          </w:p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100g</w:t>
            </w:r>
          </w:p>
        </w:tc>
        <w:tc>
          <w:tcPr>
            <w:tcW w:w="2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+20</w:t>
            </w:r>
            <w:r>
              <w:rPr>
                <w:rFonts w:ascii="Times New Roman" w:hAnsi="Times New Roman" w:cs="Times New Roman" w:hint="eastAsia"/>
                <w:bCs/>
                <w:color w:val="000000"/>
                <w:sz w:val="22"/>
                <w:szCs w:val="22"/>
              </w:rPr>
              <w:t>目：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≤</w:t>
            </w: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15%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-325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目：≤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10%</w:t>
            </w:r>
          </w:p>
        </w:tc>
        <w:tc>
          <w:tcPr>
            <w:tcW w:w="3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hanging="0" w:start="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1.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称取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100g Y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料成品，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从上到下依次放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20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目、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325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目筛网进行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震动筛分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5min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；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hanging="0" w:start="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2.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称量计算各区间占比。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ind w:firstLineChars="100" w:startChars="0" w:start="0" w:endChars="0" w:end="0"/>
        <w:rPr>
          <w:rFonts w:ascii="Times New Roman" w:hAnsi="Times New Roman" w:eastAsia="宋体" w:cs="Times New Roman"/>
          <w:bCs/>
          <w:sz w:val="24"/>
          <w:szCs w:val="24"/>
          <w:highlight w:val="none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  <w:t xml:space="preserve">7  </w:t>
      </w:r>
      <w:r>
        <w:rPr>
          <w:rFonts w:ascii="Times New Roman" w:hAnsi="Times New Roman" w:cs="Times New Roman"/>
          <w:bCs/>
          <w:sz w:val="24"/>
          <w:szCs w:val="24"/>
        </w:rPr>
        <w:t>检验结果处理方式</w:t>
      </w:r>
    </w:p>
    <w:p>
      <w:pPr>
        <w:pStyle w:val="Normal"/>
        <w:spacing w:lineRule="auto" w:line="360"/>
        <w:ind w:firstLineChars="100" w:startChars="0" w:start="0" w:endChars="0" w:end="0"/>
        <w:rPr>
          <w:rFonts w:ascii="Times New Roman" w:hAnsi="Times New Roman" w:eastAsia="宋体" w:cs="Times New Roman"/>
          <w:bCs/>
          <w:sz w:val="24"/>
          <w:szCs w:val="24"/>
          <w:highlight w:val="none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  <w:t>7.1</w:t>
      </w:r>
      <w:r>
        <w:rPr>
          <w:rFonts w:ascii="Times New Roman" w:hAnsi="Times New Roman" w:cs="Times New Roman"/>
          <w:bCs/>
          <w:sz w:val="24"/>
          <w:szCs w:val="24"/>
        </w:rPr>
        <w:t>原料（</w:t>
      </w:r>
      <w:r>
        <w:rPr>
          <w:rFonts w:eastAsia="宋体" w:cs="Times New Roman" w:ascii="Times New Roman" w:hAnsi="Times New Roman"/>
          <w:bCs/>
          <w:sz w:val="24"/>
          <w:szCs w:val="24"/>
        </w:rPr>
        <w:t>Y-CAS-23</w:t>
      </w:r>
      <w:r>
        <w:rPr>
          <w:rFonts w:ascii="Times New Roman" w:hAnsi="Times New Roman" w:cs="Times New Roman"/>
          <w:bCs/>
          <w:sz w:val="24"/>
          <w:szCs w:val="24"/>
        </w:rPr>
        <w:t>）</w:t>
      </w:r>
    </w:p>
    <w:tbl>
      <w:tblPr>
        <w:tblW w:w="644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48"/>
        <w:gridCol w:w="1543"/>
        <w:gridCol w:w="1679"/>
        <w:gridCol w:w="1679"/>
      </w:tblGrid>
      <w:tr>
        <w:trPr>
          <w:trHeight w:val="374" w:hRule="atLeast"/>
        </w:trPr>
        <w:tc>
          <w:tcPr>
            <w:tcW w:w="1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/>
                <w:bCs/>
                <w:position w:val="0"/>
                <w:sz w:val="21"/>
                <w:szCs w:val="21"/>
                <w:vertAlign w:val="baseline"/>
              </w:rPr>
              <w:t>检验项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/>
                <w:bCs/>
                <w:position w:val="0"/>
                <w:sz w:val="21"/>
                <w:szCs w:val="21"/>
                <w:vertAlign w:val="baseline"/>
              </w:rPr>
              <w:t>性能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/>
                <w:bCs/>
                <w:position w:val="0"/>
                <w:sz w:val="21"/>
                <w:szCs w:val="21"/>
                <w:vertAlign w:val="baseline"/>
              </w:rPr>
              <w:t>粒径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1"/>
                <w:szCs w:val="21"/>
                <w:vertAlign w:val="baseline"/>
              </w:rPr>
              <w:t>卫生安全</w:t>
            </w:r>
          </w:p>
        </w:tc>
      </w:tr>
      <w:tr>
        <w:trPr/>
        <w:tc>
          <w:tcPr>
            <w:tcW w:w="1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/>
                <w:bCs/>
                <w:position w:val="0"/>
                <w:sz w:val="21"/>
                <w:szCs w:val="21"/>
                <w:vertAlign w:val="baseline"/>
              </w:rPr>
              <w:t>检验结果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/>
                <w:bCs/>
                <w:position w:val="0"/>
                <w:sz w:val="21"/>
                <w:szCs w:val="21"/>
                <w:vertAlign w:val="baseline"/>
              </w:rPr>
              <w:t>不合格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/>
                <w:bCs/>
                <w:position w:val="0"/>
                <w:sz w:val="21"/>
                <w:szCs w:val="21"/>
                <w:vertAlign w:val="baseline"/>
              </w:rPr>
              <w:t>不合格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/>
                <w:bCs/>
                <w:position w:val="0"/>
                <w:sz w:val="21"/>
                <w:szCs w:val="21"/>
                <w:vertAlign w:val="baseline"/>
              </w:rPr>
              <w:t>不合格</w:t>
            </w:r>
          </w:p>
        </w:tc>
      </w:tr>
      <w:tr>
        <w:trPr/>
        <w:tc>
          <w:tcPr>
            <w:tcW w:w="1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/>
                <w:bCs/>
                <w:position w:val="0"/>
                <w:sz w:val="21"/>
                <w:szCs w:val="21"/>
                <w:vertAlign w:val="baseline"/>
              </w:rPr>
              <w:t>处理方式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/>
                <w:bCs/>
                <w:position w:val="0"/>
                <w:sz w:val="21"/>
                <w:szCs w:val="21"/>
                <w:vertAlign w:val="baseline"/>
              </w:rPr>
              <w:t>退货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/>
                <w:bCs/>
                <w:position w:val="0"/>
                <w:sz w:val="21"/>
                <w:szCs w:val="21"/>
                <w:vertAlign w:val="baseline"/>
              </w:rPr>
              <w:t>退货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/>
                <w:bCs/>
                <w:position w:val="0"/>
                <w:sz w:val="21"/>
                <w:szCs w:val="21"/>
                <w:vertAlign w:val="baseline"/>
              </w:rPr>
              <w:t>退货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</w:t>
      </w:r>
    </w:p>
    <w:p>
      <w:pPr>
        <w:pStyle w:val="Normal"/>
        <w:ind w:firstLineChars="100" w:startChars="0" w:start="0" w:endChars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7.2</w:t>
      </w:r>
      <w:r>
        <w:rPr>
          <w:rFonts w:ascii="Times New Roman" w:hAnsi="Times New Roman" w:cs="Times New Roman"/>
          <w:sz w:val="24"/>
          <w:szCs w:val="24"/>
        </w:rPr>
        <w:t>成品（</w:t>
      </w:r>
      <w:r>
        <w:rPr>
          <w:rFonts w:cs="Times New Roman" w:ascii="Times New Roman" w:hAnsi="Times New Roman"/>
          <w:sz w:val="24"/>
          <w:szCs w:val="24"/>
        </w:rPr>
        <w:t>CAS-18</w:t>
      </w:r>
      <w:r>
        <w:rPr>
          <w:rFonts w:ascii="Times New Roman" w:hAnsi="Times New Roman" w:cs="Times New Roman"/>
          <w:sz w:val="24"/>
          <w:szCs w:val="24"/>
        </w:rPr>
        <w:t>）</w:t>
      </w:r>
    </w:p>
    <w:tbl>
      <w:tblPr>
        <w:tblW w:w="47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48"/>
        <w:gridCol w:w="1543"/>
        <w:gridCol w:w="1679"/>
      </w:tblGrid>
      <w:tr>
        <w:trPr/>
        <w:tc>
          <w:tcPr>
            <w:tcW w:w="1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/>
                <w:bCs/>
                <w:position w:val="0"/>
                <w:sz w:val="21"/>
                <w:szCs w:val="21"/>
                <w:vertAlign w:val="baseline"/>
              </w:rPr>
              <w:t>检验结果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/>
                <w:bCs/>
                <w:position w:val="0"/>
                <w:sz w:val="21"/>
                <w:szCs w:val="21"/>
                <w:vertAlign w:val="baseline"/>
              </w:rPr>
              <w:t>合格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/>
                <w:bCs/>
                <w:position w:val="0"/>
                <w:sz w:val="21"/>
                <w:szCs w:val="21"/>
                <w:vertAlign w:val="baseline"/>
              </w:rPr>
              <w:t>不合格</w:t>
            </w:r>
          </w:p>
        </w:tc>
      </w:tr>
      <w:tr>
        <w:trPr/>
        <w:tc>
          <w:tcPr>
            <w:tcW w:w="1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/>
                <w:bCs/>
                <w:position w:val="0"/>
                <w:sz w:val="21"/>
                <w:szCs w:val="21"/>
                <w:vertAlign w:val="baseline"/>
              </w:rPr>
              <w:t>处理方式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/>
                <w:bCs/>
                <w:position w:val="0"/>
                <w:sz w:val="21"/>
                <w:szCs w:val="21"/>
                <w:vertAlign w:val="baseline"/>
              </w:rPr>
              <w:t>入库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312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bCs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/>
                <w:bCs/>
                <w:position w:val="0"/>
                <w:sz w:val="21"/>
                <w:szCs w:val="21"/>
                <w:vertAlign w:val="baseline"/>
              </w:rPr>
              <w:t>重新筛分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083" w:right="969" w:gutter="0" w:header="1191" w:top="1247" w:footer="549" w:bottom="605"/>
      <w:pgBorders w:display="allPages" w:offsetFrom="text">
        <w:top w:val="double" w:sz="4" w:space="0" w:color="000000"/>
        <w:left w:val="double" w:sz="4" w:space="0" w:color="000000"/>
        <w:bottom w:val="double" w:sz="4" w:space="0" w:color="000000"/>
        <w:right w:val="double" w:sz="4" w:space="4" w:color="000000"/>
      </w:pgBorders>
      <w:pgNumType w:start="1" w:fmt="decimal"/>
      <w:formProt w:val="false"/>
      <w:titlePg/>
      <w:textDirection w:val="lrTb"/>
      <w:docGrid w:type="default" w:linePitch="27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Arial">
    <w:charset w:val="00"/>
    <w:family w:val="swiss"/>
    <w:pitch w:val="default"/>
  </w:font>
  <w:font w:name="Bookman Old Style">
    <w:altName w:val="Segoe Print"/>
    <w:charset w:val="00"/>
    <w:family w:val="roman"/>
    <w:pitch w:val="default"/>
  </w:font>
  <w:font w:name="AvantGarde Md BT">
    <w:altName w:val="Trebuchet MS"/>
    <w:charset w:val="00"/>
    <w:family w:val="swiss"/>
    <w:pitch w:val="default"/>
  </w:font>
  <w:font w:name="Arial">
    <w:charset w:val="01"/>
    <w:family w:val="swiss"/>
    <w:pitch w:val="variable"/>
  </w:font>
  <w:font w:name="Times New Roman">
    <w:charset w:val="00"/>
    <w:family w:val="roman"/>
    <w:pitch w:val="default"/>
  </w:font>
  <w:font w:name="宋体">
    <w:charset w:val="86"/>
    <w:family w:val="auto"/>
    <w:pitch w:val="default"/>
  </w:font>
  <w:font w:name="楷体_GB2312">
    <w:altName w:val="楷体"/>
    <w:charset w:val="86"/>
    <w:family w:val="modern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napToGrid w:val="false"/>
      <w:spacing w:lineRule="auto" w:line="60"/>
      <w:rPr>
        <w:sz w:val="10"/>
      </w:rPr>
    </w:pPr>
    <w:r>
      <w:rPr>
        <w:sz w:val="1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0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616"/>
      <w:gridCol w:w="1617"/>
      <w:gridCol w:w="1617"/>
      <w:gridCol w:w="1750"/>
      <w:gridCol w:w="1300"/>
      <w:gridCol w:w="1800"/>
    </w:tblGrid>
    <w:tr>
      <w:trPr>
        <w:trHeight w:val="1130" w:hRule="exact"/>
      </w:trPr>
      <w:tc>
        <w:tcPr>
          <w:tcW w:w="9700" w:type="dxa"/>
          <w:gridSpan w:val="6"/>
          <w:tcBorders>
            <w:bottom w:val="single" w:sz="4" w:space="0" w:color="000000"/>
          </w:tcBorders>
          <w:vAlign w:val="center"/>
        </w:tcPr>
        <w:p>
          <w:pPr>
            <w:pStyle w:val="Normal"/>
            <w:tabs>
              <w:tab w:val="left" w:pos="720" w:leader="none"/>
              <w:tab w:val="left" w:pos="1080" w:leader="none"/>
            </w:tabs>
            <w:ind w:start="720" w:end="0"/>
            <w:jc w:val="center"/>
            <w:rPr>
              <w:rFonts w:ascii="Times New Roman" w:hAnsi="Times New Roman" w:cs="Times New Roman"/>
              <w:b/>
              <w:bCs/>
              <w:sz w:val="48"/>
              <w:szCs w:val="48"/>
            </w:rPr>
          </w:pPr>
          <w:r>
            <w:rPr>
              <w:rFonts w:ascii="Times New Roman" w:hAnsi="Times New Roman" w:cs="Times New Roman"/>
              <w:b/>
              <w:bCs/>
              <w:color w:val="000000"/>
              <w:sz w:val="48"/>
              <w:szCs w:val="48"/>
            </w:rPr>
            <w:t>惠州市银嘉环保科技</w:t>
          </w:r>
          <w:r>
            <w:rPr>
              <w:rFonts w:ascii="Times New Roman" w:hAnsi="Times New Roman" w:cs="Times New Roman"/>
              <w:b/>
              <w:bCs/>
              <w:sz w:val="48"/>
              <w:szCs w:val="48"/>
            </w:rPr>
            <w:t>有限公司</w:t>
          </w:r>
        </w:p>
      </w:tc>
    </w:tr>
    <w:tr>
      <w:trPr>
        <w:trHeight w:val="380" w:hRule="exact"/>
        <w:cantSplit/>
      </w:trPr>
      <w:tc>
        <w:tcPr>
          <w:tcW w:w="6600" w:type="dxa"/>
          <w:gridSpan w:val="4"/>
          <w:vMerge w:val="restart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exact" w:line="400"/>
            <w:ind w:firstLineChars="0" w:firstLine="0" w:startChars="0" w:start="0" w:endChars="201"/>
            <w:jc w:val="center"/>
            <w:rPr>
              <w:rFonts w:ascii="Times New Roman" w:hAnsi="Times New Roman" w:eastAsia="华文中宋;宋体" w:cs="Times New Roman"/>
              <w:bCs/>
              <w:sz w:val="40"/>
              <w:szCs w:val="40"/>
            </w:rPr>
          </w:pPr>
          <w:r>
            <w:rPr>
              <w:rFonts w:eastAsia="华文中宋;宋体" w:cs="Times New Roman" w:hint="eastAsia" w:ascii="Times New Roman" w:hAnsi="Times New Roman"/>
              <w:sz w:val="40"/>
              <w:szCs w:val="22"/>
            </w:rPr>
            <w:t>Y</w:t>
          </w:r>
          <w:r>
            <w:rPr>
              <w:rFonts w:ascii="Times New Roman" w:hAnsi="Times New Roman" w:cs="Times New Roman" w:hint="eastAsia" w:eastAsia="华文中宋;宋体"/>
              <w:sz w:val="40"/>
              <w:szCs w:val="22"/>
            </w:rPr>
            <w:t>料原料及成品</w:t>
          </w:r>
          <w:r>
            <w:rPr>
              <w:rFonts w:ascii="Times New Roman" w:hAnsi="Times New Roman" w:cs="Times New Roman" w:eastAsia="华文中宋;宋体"/>
              <w:sz w:val="40"/>
              <w:szCs w:val="22"/>
            </w:rPr>
            <w:t>检验规范</w:t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ascii="Times New Roman" w:hAnsi="Times New Roman" w:cs="Times New Roman" w:eastAsia="黑体"/>
              <w:sz w:val="24"/>
            </w:rPr>
            <w:t>文件编号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eastAsia="黑体" w:cs="Times New Roman" w:hint="eastAsia" w:ascii="Times New Roman" w:hAnsi="Times New Roman"/>
              <w:sz w:val="24"/>
            </w:rPr>
            <w:t>YJ-Q-125</w:t>
          </w:r>
        </w:p>
      </w:tc>
    </w:tr>
    <w:tr>
      <w:trPr>
        <w:trHeight w:val="380" w:hRule="exact"/>
        <w:cantSplit/>
      </w:trPr>
      <w:tc>
        <w:tcPr>
          <w:tcW w:w="6600" w:type="dxa"/>
          <w:gridSpan w:val="4"/>
          <w:vMerge w:val="continue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Times New Roman" w:hAnsi="Times New Roman" w:cs="Times New Roman"/>
            </w:rPr>
          </w:pPr>
          <w:r>
            <w:rPr>
              <w:rFonts w:eastAsia="黑体" w:cs="Times New Roman" w:ascii="Times New Roman" w:hAnsi="Times New Roman"/>
              <w:sz w:val="24"/>
            </w:rPr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ascii="Times New Roman" w:hAnsi="Times New Roman" w:cs="Times New Roman" w:eastAsia="黑体"/>
              <w:sz w:val="24"/>
            </w:rPr>
            <w:t>发行日期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eastAsia="黑体" w:cs="Times New Roman" w:ascii="Times New Roman" w:hAnsi="Times New Roman"/>
              <w:sz w:val="24"/>
            </w:rPr>
            <w:t>2026.</w:t>
          </w:r>
          <w:r>
            <w:rPr>
              <w:rFonts w:eastAsia="黑体" w:cs="Times New Roman" w:hint="eastAsia" w:ascii="Times New Roman" w:hAnsi="Times New Roman"/>
              <w:sz w:val="24"/>
            </w:rPr>
            <w:t>4</w:t>
          </w:r>
          <w:r>
            <w:rPr>
              <w:rFonts w:eastAsia="黑体" w:cs="Times New Roman" w:ascii="Times New Roman" w:hAnsi="Times New Roman"/>
              <w:sz w:val="24"/>
            </w:rPr>
            <w:t>.1</w:t>
          </w:r>
          <w:r>
            <w:rPr>
              <w:rFonts w:eastAsia="黑体" w:cs="Times New Roman" w:hint="eastAsia" w:ascii="Times New Roman" w:hAnsi="Times New Roman"/>
              <w:sz w:val="24"/>
            </w:rPr>
            <w:t>5</w:t>
          </w:r>
        </w:p>
      </w:tc>
    </w:tr>
    <w:tr>
      <w:trPr>
        <w:trHeight w:val="380" w:hRule="exact"/>
        <w:cantSplit/>
      </w:trPr>
      <w:tc>
        <w:tcPr>
          <w:tcW w:w="1616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hint="eastAsia" w:eastAsia="黑体"/>
              <w:sz w:val="24"/>
            </w:rPr>
            <w:t>物料编码</w:t>
          </w:r>
        </w:p>
      </w:tc>
      <w:tc>
        <w:tcPr>
          <w:tcW w:w="8084" w:type="dxa"/>
          <w:gridSpan w:val="5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start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hint="eastAsia" w:eastAsia="黑体"/>
              <w:sz w:val="24"/>
            </w:rPr>
            <w:t>原料：亚硫酸钙球</w:t>
          </w:r>
          <w:r>
            <w:rPr>
              <w:rStyle w:val="PageNumber"/>
              <w:rFonts w:eastAsia="黑体" w:cs="Times New Roman" w:hint="eastAsia" w:ascii="Times New Roman" w:hAnsi="Times New Roman"/>
              <w:sz w:val="24"/>
            </w:rPr>
            <w:t>Y-CAS-23</w:t>
          </w:r>
          <w:r>
            <w:rPr>
              <w:rStyle w:val="PageNumber"/>
              <w:rFonts w:ascii="Times New Roman" w:hAnsi="Times New Roman" w:cs="Times New Roman" w:hint="eastAsia" w:eastAsia="黑体"/>
              <w:sz w:val="24"/>
            </w:rPr>
            <w:t>，成品：</w:t>
          </w:r>
          <w:r>
            <w:rPr>
              <w:rStyle w:val="PageNumber"/>
              <w:rFonts w:eastAsia="黑体" w:cs="Times New Roman" w:ascii="Times New Roman" w:hAnsi="Times New Roman"/>
              <w:sz w:val="24"/>
            </w:rPr>
            <w:t>CAS-18</w:t>
          </w:r>
        </w:p>
      </w:tc>
    </w:tr>
    <w:tr>
      <w:trPr>
        <w:trHeight w:val="380" w:hRule="exact"/>
        <w:cantSplit/>
      </w:trPr>
      <w:tc>
        <w:tcPr>
          <w:tcW w:w="1616" w:type="dxa"/>
          <w:tcBorders>
            <w:top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版本</w:t>
          </w:r>
          <w:r>
            <w:rPr>
              <w:rStyle w:val="PageNumber"/>
              <w:rFonts w:eastAsia="黑体" w:cs="Times New Roman" w:ascii="Times New Roman" w:hAnsi="Times New Roman"/>
              <w:sz w:val="24"/>
            </w:rPr>
            <w:t>/</w:t>
          </w:r>
          <w:r>
            <w:rPr>
              <w:rStyle w:val="PageNumber"/>
              <w:rFonts w:ascii="Times New Roman" w:hAnsi="Times New Roman" w:cs="Times New Roman" w:eastAsia="黑体"/>
              <w:sz w:val="24"/>
            </w:rPr>
            <w:t>版次</w:t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eastAsia="黑体" w:cs="Times New Roman" w:ascii="Times New Roman" w:hAnsi="Times New Roman"/>
              <w:sz w:val="24"/>
            </w:rPr>
            <w:t>A0</w:t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管控状态</w:t>
          </w:r>
        </w:p>
      </w:tc>
      <w:tc>
        <w:tcPr>
          <w:tcW w:w="175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受  控</w:t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页  次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  <w:szCs w:val="21"/>
            </w:rPr>
            <w:t>第</w:t>
          </w:r>
          <w:r>
            <w:rPr>
              <w:rStyle w:val="PageNumber"/>
              <w:rFonts w:ascii="Times New Roman" w:hAnsi="Times New Roman" w:cs="Times New Roman" w:hint="eastAsia" w:eastAsia="黑体"/>
              <w:sz w:val="24"/>
              <w:szCs w:val="21"/>
            </w:rPr>
            <w:t xml:space="preserve"> </w:t>
          </w:r>
          <w:r>
            <w:rPr>
              <w:rStyle w:val="PageNumber"/>
              <w:rFonts w:eastAsia="黑体" w:cs="Times New Roman" w:hint="eastAsia" w:ascii="Times New Roman" w:hAnsi="Times New Roman"/>
              <w:sz w:val="24"/>
              <w:szCs w:val="21"/>
            </w:rPr>
            <w:t>2</w:t>
          </w:r>
          <w:r>
            <w:rPr>
              <w:rStyle w:val="PageNumber"/>
              <w:rFonts w:eastAsia="黑体" w:cs="Times New Roman" w:ascii="Times New Roman" w:hAnsi="Times New Roman"/>
              <w:sz w:val="24"/>
            </w:rPr>
            <w:t xml:space="preserve"> </w:t>
          </w:r>
          <w:r>
            <w:rPr>
              <w:rStyle w:val="PageNumber"/>
              <w:rFonts w:ascii="Times New Roman" w:hAnsi="Times New Roman" w:cs="Times New Roman" w:eastAsia="黑体"/>
              <w:sz w:val="24"/>
              <w:szCs w:val="21"/>
            </w:rPr>
            <w:t>页</w:t>
          </w:r>
          <w:r>
            <w:rPr>
              <w:rStyle w:val="PageNumber"/>
              <w:rFonts w:eastAsia="黑体" w:cs="Times New Roman" w:ascii="Times New Roman" w:hAnsi="Times New Roman"/>
              <w:sz w:val="24"/>
              <w:szCs w:val="21"/>
            </w:rPr>
            <w:t>/</w:t>
          </w:r>
          <w:r>
            <w:rPr>
              <w:rStyle w:val="PageNumber"/>
              <w:rFonts w:ascii="Times New Roman" w:hAnsi="Times New Roman" w:cs="Times New Roman" w:eastAsia="黑体"/>
              <w:sz w:val="24"/>
              <w:szCs w:val="21"/>
            </w:rPr>
            <w:t>共</w:t>
          </w:r>
          <w:r>
            <w:rPr>
              <w:rStyle w:val="PageNumber"/>
              <w:rFonts w:eastAsia="黑体" w:cs="Times New Roman" w:hint="eastAsia" w:ascii="Times New Roman" w:hAnsi="Times New Roman"/>
              <w:sz w:val="24"/>
              <w:szCs w:val="21"/>
            </w:rPr>
            <w:t>3</w:t>
          </w:r>
          <w:r>
            <w:rPr>
              <w:rStyle w:val="PageNumber"/>
              <w:rFonts w:ascii="Times New Roman" w:hAnsi="Times New Roman" w:cs="Times New Roman" w:eastAsia="黑体"/>
              <w:sz w:val="24"/>
              <w:szCs w:val="21"/>
            </w:rPr>
            <w:t>页</w:t>
          </w:r>
        </w:p>
      </w:tc>
    </w:tr>
  </w:tbl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0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616"/>
      <w:gridCol w:w="1617"/>
      <w:gridCol w:w="1617"/>
      <w:gridCol w:w="1750"/>
      <w:gridCol w:w="1300"/>
      <w:gridCol w:w="1800"/>
    </w:tblGrid>
    <w:tr>
      <w:trPr>
        <w:trHeight w:val="1130" w:hRule="exact"/>
      </w:trPr>
      <w:tc>
        <w:tcPr>
          <w:tcW w:w="9700" w:type="dxa"/>
          <w:gridSpan w:val="6"/>
          <w:tcBorders>
            <w:bottom w:val="single" w:sz="4" w:space="0" w:color="000000"/>
          </w:tcBorders>
          <w:vAlign w:val="center"/>
        </w:tcPr>
        <w:p>
          <w:pPr>
            <w:pStyle w:val="Normal"/>
            <w:tabs>
              <w:tab w:val="left" w:pos="720" w:leader="none"/>
              <w:tab w:val="left" w:pos="1080" w:leader="none"/>
            </w:tabs>
            <w:ind w:start="720" w:end="0"/>
            <w:jc w:val="center"/>
            <w:rPr>
              <w:rFonts w:ascii="Times New Roman" w:hAnsi="Times New Roman" w:cs="Times New Roman"/>
              <w:b/>
              <w:bCs/>
              <w:sz w:val="48"/>
              <w:szCs w:val="48"/>
            </w:rPr>
          </w:pPr>
          <w:r>
            <w:rPr>
              <w:rFonts w:ascii="Times New Roman" w:hAnsi="Times New Roman" w:cs="Times New Roman"/>
              <w:b/>
              <w:bCs/>
              <w:color w:val="000000"/>
              <w:sz w:val="48"/>
              <w:szCs w:val="48"/>
            </w:rPr>
            <w:t>惠州市银嘉环保科技</w:t>
          </w:r>
          <w:r>
            <w:rPr>
              <w:rFonts w:ascii="Times New Roman" w:hAnsi="Times New Roman" w:cs="Times New Roman"/>
              <w:b/>
              <w:bCs/>
              <w:sz w:val="48"/>
              <w:szCs w:val="48"/>
            </w:rPr>
            <w:t>有限公司</w:t>
          </w:r>
        </w:p>
      </w:tc>
    </w:tr>
    <w:tr>
      <w:trPr>
        <w:trHeight w:val="380" w:hRule="exact"/>
        <w:cantSplit/>
      </w:trPr>
      <w:tc>
        <w:tcPr>
          <w:tcW w:w="6600" w:type="dxa"/>
          <w:gridSpan w:val="4"/>
          <w:vMerge w:val="restart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exact" w:line="400"/>
            <w:ind w:firstLineChars="0" w:firstLine="0" w:startChars="0" w:start="0" w:endChars="201"/>
            <w:jc w:val="center"/>
            <w:rPr>
              <w:rFonts w:ascii="Times New Roman" w:hAnsi="Times New Roman" w:eastAsia="华文中宋;宋体" w:cs="Times New Roman"/>
              <w:bCs/>
              <w:sz w:val="40"/>
              <w:szCs w:val="40"/>
            </w:rPr>
          </w:pPr>
          <w:r>
            <w:rPr>
              <w:rFonts w:eastAsia="华文中宋;宋体" w:cs="Times New Roman" w:hint="eastAsia" w:ascii="Times New Roman" w:hAnsi="Times New Roman"/>
              <w:sz w:val="40"/>
              <w:szCs w:val="22"/>
            </w:rPr>
            <w:t>Y</w:t>
          </w:r>
          <w:r>
            <w:rPr>
              <w:rFonts w:ascii="Times New Roman" w:hAnsi="Times New Roman" w:cs="Times New Roman" w:eastAsia="华文中宋;宋体"/>
              <w:sz w:val="40"/>
              <w:szCs w:val="22"/>
            </w:rPr>
            <w:t>料</w:t>
          </w:r>
          <w:r>
            <w:rPr>
              <w:rFonts w:ascii="Times New Roman" w:hAnsi="Times New Roman" w:cs="Times New Roman" w:hint="eastAsia" w:eastAsia="华文中宋;宋体"/>
              <w:sz w:val="40"/>
              <w:szCs w:val="22"/>
            </w:rPr>
            <w:t>原料及成品</w:t>
          </w:r>
          <w:r>
            <w:rPr>
              <w:rFonts w:ascii="Times New Roman" w:hAnsi="Times New Roman" w:cs="Times New Roman" w:eastAsia="华文中宋;宋体"/>
              <w:sz w:val="40"/>
              <w:szCs w:val="22"/>
            </w:rPr>
            <w:t>检验规范</w:t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ascii="Times New Roman" w:hAnsi="Times New Roman" w:cs="Times New Roman" w:eastAsia="黑体"/>
              <w:sz w:val="24"/>
            </w:rPr>
            <w:t>文件编号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eastAsia="黑体" w:cs="Times New Roman" w:hint="eastAsia" w:ascii="Times New Roman" w:hAnsi="Times New Roman"/>
              <w:sz w:val="24"/>
            </w:rPr>
            <w:t>YJ-Q-125</w:t>
          </w:r>
        </w:p>
      </w:tc>
    </w:tr>
    <w:tr>
      <w:trPr>
        <w:trHeight w:val="380" w:hRule="exact"/>
        <w:cantSplit/>
      </w:trPr>
      <w:tc>
        <w:tcPr>
          <w:tcW w:w="6600" w:type="dxa"/>
          <w:gridSpan w:val="4"/>
          <w:vMerge w:val="continue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Times New Roman" w:hAnsi="Times New Roman" w:cs="Times New Roman"/>
            </w:rPr>
          </w:pPr>
          <w:r>
            <w:rPr>
              <w:rFonts w:eastAsia="黑体" w:cs="Times New Roman" w:ascii="Times New Roman" w:hAnsi="Times New Roman"/>
              <w:sz w:val="24"/>
            </w:rPr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ascii="Times New Roman" w:hAnsi="Times New Roman" w:cs="Times New Roman" w:eastAsia="黑体"/>
              <w:sz w:val="24"/>
            </w:rPr>
            <w:t>发行日期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eastAsia="黑体" w:cs="Times New Roman" w:ascii="Times New Roman" w:hAnsi="Times New Roman"/>
              <w:sz w:val="24"/>
            </w:rPr>
            <w:t>2026.</w:t>
          </w:r>
          <w:r>
            <w:rPr>
              <w:rFonts w:eastAsia="黑体" w:cs="Times New Roman" w:hint="eastAsia" w:ascii="Times New Roman" w:hAnsi="Times New Roman"/>
              <w:sz w:val="24"/>
            </w:rPr>
            <w:t>4</w:t>
          </w:r>
          <w:r>
            <w:rPr>
              <w:rFonts w:eastAsia="黑体" w:cs="Times New Roman" w:ascii="Times New Roman" w:hAnsi="Times New Roman"/>
              <w:sz w:val="24"/>
            </w:rPr>
            <w:t>.1</w:t>
          </w:r>
          <w:r>
            <w:rPr>
              <w:rFonts w:eastAsia="黑体" w:cs="Times New Roman" w:hint="eastAsia" w:ascii="Times New Roman" w:hAnsi="Times New Roman"/>
              <w:sz w:val="24"/>
            </w:rPr>
            <w:t>5</w:t>
          </w:r>
        </w:p>
      </w:tc>
    </w:tr>
    <w:tr>
      <w:trPr>
        <w:trHeight w:val="380" w:hRule="exact"/>
        <w:cantSplit/>
      </w:trPr>
      <w:tc>
        <w:tcPr>
          <w:tcW w:w="1616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hint="eastAsia" w:eastAsia="黑体"/>
              <w:sz w:val="24"/>
            </w:rPr>
            <w:t>物料编码</w:t>
          </w:r>
        </w:p>
      </w:tc>
      <w:tc>
        <w:tcPr>
          <w:tcW w:w="8084" w:type="dxa"/>
          <w:gridSpan w:val="5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start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hint="eastAsia" w:eastAsia="黑体"/>
              <w:sz w:val="24"/>
            </w:rPr>
            <w:t>原料：亚硫酸钙球</w:t>
          </w:r>
          <w:r>
            <w:rPr>
              <w:rStyle w:val="PageNumber"/>
              <w:rFonts w:eastAsia="黑体" w:cs="Times New Roman" w:hint="eastAsia" w:ascii="Times New Roman" w:hAnsi="Times New Roman"/>
              <w:sz w:val="24"/>
            </w:rPr>
            <w:t>Y-CAS-23</w:t>
          </w:r>
          <w:r>
            <w:rPr>
              <w:rStyle w:val="PageNumber"/>
              <w:rFonts w:ascii="Times New Roman" w:hAnsi="Times New Roman" w:cs="Times New Roman" w:hint="eastAsia" w:eastAsia="黑体"/>
              <w:sz w:val="24"/>
            </w:rPr>
            <w:t>，成品：</w:t>
          </w:r>
          <w:r>
            <w:rPr>
              <w:rStyle w:val="PageNumber"/>
              <w:rFonts w:eastAsia="黑体" w:cs="Times New Roman" w:ascii="Times New Roman" w:hAnsi="Times New Roman"/>
              <w:sz w:val="24"/>
            </w:rPr>
            <w:t>CAS-18</w:t>
          </w:r>
        </w:p>
      </w:tc>
    </w:tr>
    <w:tr>
      <w:trPr>
        <w:trHeight w:val="380" w:hRule="exact"/>
        <w:cantSplit/>
      </w:trPr>
      <w:tc>
        <w:tcPr>
          <w:tcW w:w="1616" w:type="dxa"/>
          <w:tcBorders>
            <w:top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版本</w:t>
          </w:r>
          <w:r>
            <w:rPr>
              <w:rStyle w:val="PageNumber"/>
              <w:rFonts w:eastAsia="黑体" w:cs="Times New Roman" w:ascii="Times New Roman" w:hAnsi="Times New Roman"/>
              <w:sz w:val="24"/>
            </w:rPr>
            <w:t>/</w:t>
          </w:r>
          <w:r>
            <w:rPr>
              <w:rStyle w:val="PageNumber"/>
              <w:rFonts w:ascii="Times New Roman" w:hAnsi="Times New Roman" w:cs="Times New Roman" w:eastAsia="黑体"/>
              <w:sz w:val="24"/>
            </w:rPr>
            <w:t>版次</w:t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eastAsia="黑体" w:cs="Times New Roman" w:ascii="Times New Roman" w:hAnsi="Times New Roman"/>
              <w:sz w:val="24"/>
            </w:rPr>
            <w:t>A0</w:t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管控状态</w:t>
          </w:r>
        </w:p>
      </w:tc>
      <w:tc>
        <w:tcPr>
          <w:tcW w:w="175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受  控</w:t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页  次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  <w:szCs w:val="21"/>
            </w:rPr>
            <w:t>第</w:t>
          </w:r>
          <w:r>
            <w:rPr>
              <w:rStyle w:val="PageNumber"/>
              <w:rFonts w:eastAsia="黑体" w:cs="Times New Roman" w:hint="eastAsia" w:ascii="Times New Roman" w:hAnsi="Times New Roman"/>
              <w:sz w:val="24"/>
            </w:rPr>
            <w:t>3</w:t>
          </w:r>
          <w:r>
            <w:rPr>
              <w:rStyle w:val="PageNumber"/>
              <w:rFonts w:eastAsia="黑体" w:cs="Times New Roman" w:ascii="Times New Roman" w:hAnsi="Times New Roman"/>
              <w:sz w:val="24"/>
            </w:rPr>
            <w:t xml:space="preserve"> </w:t>
          </w:r>
          <w:r>
            <w:rPr>
              <w:rStyle w:val="PageNumber"/>
              <w:rFonts w:ascii="Times New Roman" w:hAnsi="Times New Roman" w:cs="Times New Roman" w:eastAsia="黑体"/>
              <w:sz w:val="24"/>
              <w:szCs w:val="21"/>
            </w:rPr>
            <w:t>页</w:t>
          </w:r>
          <w:r>
            <w:rPr>
              <w:rStyle w:val="PageNumber"/>
              <w:rFonts w:eastAsia="黑体" w:cs="Times New Roman" w:ascii="Times New Roman" w:hAnsi="Times New Roman"/>
              <w:sz w:val="24"/>
              <w:szCs w:val="21"/>
            </w:rPr>
            <w:t>/</w:t>
          </w:r>
          <w:r>
            <w:rPr>
              <w:rStyle w:val="PageNumber"/>
              <w:rFonts w:ascii="Times New Roman" w:hAnsi="Times New Roman" w:cs="Times New Roman" w:eastAsia="黑体"/>
              <w:sz w:val="24"/>
              <w:szCs w:val="21"/>
            </w:rPr>
            <w:t>共</w:t>
          </w:r>
          <w:r>
            <w:rPr>
              <w:rStyle w:val="PageNumber"/>
              <w:rFonts w:eastAsia="黑体" w:cs="Times New Roman" w:hint="eastAsia" w:ascii="Times New Roman" w:hAnsi="Times New Roman"/>
              <w:sz w:val="24"/>
              <w:szCs w:val="21"/>
            </w:rPr>
            <w:t>3</w:t>
          </w:r>
          <w:r>
            <w:rPr>
              <w:rStyle w:val="PageNumber"/>
              <w:rFonts w:ascii="Times New Roman" w:hAnsi="Times New Roman" w:cs="Times New Roman" w:eastAsia="黑体"/>
              <w:sz w:val="24"/>
              <w:szCs w:val="21"/>
            </w:rPr>
            <w:t>页</w:t>
          </w:r>
        </w:p>
      </w:tc>
    </w:tr>
  </w:tbl>
  <w:p>
    <w:pPr>
      <w:pStyle w:val="Header"/>
      <w:snapToGrid w:val="false"/>
      <w:spacing w:lineRule="auto" w:line="60"/>
      <w:rPr>
        <w:sz w:val="10"/>
      </w:rPr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0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616"/>
      <w:gridCol w:w="1617"/>
      <w:gridCol w:w="1617"/>
      <w:gridCol w:w="1750"/>
      <w:gridCol w:w="1300"/>
      <w:gridCol w:w="1800"/>
    </w:tblGrid>
    <w:tr>
      <w:trPr>
        <w:trHeight w:val="1130" w:hRule="exact"/>
      </w:trPr>
      <w:tc>
        <w:tcPr>
          <w:tcW w:w="9700" w:type="dxa"/>
          <w:gridSpan w:val="6"/>
          <w:tcBorders>
            <w:bottom w:val="single" w:sz="4" w:space="0" w:color="000000"/>
          </w:tcBorders>
          <w:vAlign w:val="center"/>
        </w:tcPr>
        <w:p>
          <w:pPr>
            <w:pStyle w:val="Normal"/>
            <w:tabs>
              <w:tab w:val="left" w:pos="720" w:leader="none"/>
              <w:tab w:val="left" w:pos="1080" w:leader="none"/>
            </w:tabs>
            <w:ind w:start="720" w:end="0"/>
            <w:jc w:val="center"/>
            <w:rPr>
              <w:rFonts w:ascii="Times New Roman" w:hAnsi="Times New Roman" w:cs="Times New Roman"/>
              <w:b/>
              <w:bCs/>
              <w:sz w:val="48"/>
              <w:szCs w:val="48"/>
            </w:rPr>
          </w:pPr>
          <w:r>
            <w:rPr>
              <w:rFonts w:ascii="Times New Roman" w:hAnsi="Times New Roman" w:cs="Times New Roman"/>
              <w:b/>
              <w:bCs/>
              <w:color w:val="000000"/>
              <w:sz w:val="48"/>
              <w:szCs w:val="48"/>
            </w:rPr>
            <w:t>惠州市银嘉环保科技</w:t>
          </w:r>
          <w:r>
            <w:rPr>
              <w:rFonts w:ascii="Times New Roman" w:hAnsi="Times New Roman" w:cs="Times New Roman"/>
              <w:b/>
              <w:bCs/>
              <w:sz w:val="48"/>
              <w:szCs w:val="48"/>
            </w:rPr>
            <w:t>有限公司</w:t>
          </w:r>
        </w:p>
      </w:tc>
    </w:tr>
    <w:tr>
      <w:trPr>
        <w:trHeight w:val="380" w:hRule="exact"/>
        <w:cantSplit/>
      </w:trPr>
      <w:tc>
        <w:tcPr>
          <w:tcW w:w="6600" w:type="dxa"/>
          <w:gridSpan w:val="4"/>
          <w:vMerge w:val="restart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exact" w:line="400"/>
            <w:ind w:firstLineChars="0" w:firstLine="0" w:startChars="0" w:start="0" w:endChars="201"/>
            <w:jc w:val="center"/>
            <w:rPr>
              <w:rFonts w:ascii="Times New Roman" w:hAnsi="Times New Roman" w:eastAsia="华文中宋;宋体" w:cs="Times New Roman"/>
              <w:bCs/>
              <w:sz w:val="40"/>
              <w:szCs w:val="40"/>
            </w:rPr>
          </w:pPr>
          <w:r>
            <w:rPr>
              <w:rFonts w:eastAsia="华文中宋;宋体" w:cs="Times New Roman" w:ascii="Times New Roman" w:hAnsi="Times New Roman"/>
              <w:sz w:val="40"/>
              <w:szCs w:val="22"/>
            </w:rPr>
            <w:t>Y</w:t>
          </w:r>
          <w:r>
            <w:rPr>
              <w:rFonts w:ascii="Times New Roman" w:hAnsi="Times New Roman" w:cs="Times New Roman" w:eastAsia="华文中宋;宋体"/>
              <w:sz w:val="40"/>
              <w:szCs w:val="22"/>
            </w:rPr>
            <w:t>料</w:t>
          </w:r>
          <w:r>
            <w:rPr>
              <w:rFonts w:ascii="Times New Roman" w:hAnsi="Times New Roman" w:cs="Times New Roman" w:hint="eastAsia" w:eastAsia="华文中宋;宋体"/>
              <w:sz w:val="40"/>
              <w:szCs w:val="22"/>
            </w:rPr>
            <w:t>原料及成品</w:t>
          </w:r>
          <w:r>
            <w:rPr>
              <w:rFonts w:ascii="Times New Roman" w:hAnsi="Times New Roman" w:cs="Times New Roman" w:eastAsia="华文中宋;宋体"/>
              <w:sz w:val="40"/>
              <w:szCs w:val="22"/>
            </w:rPr>
            <w:t>检验规范</w:t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ascii="Times New Roman" w:hAnsi="Times New Roman" w:cs="Times New Roman" w:eastAsia="黑体"/>
              <w:sz w:val="24"/>
            </w:rPr>
            <w:t>文件编号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eastAsia="黑体" w:cs="Times New Roman" w:hint="eastAsia" w:ascii="Times New Roman" w:hAnsi="Times New Roman"/>
              <w:sz w:val="24"/>
            </w:rPr>
            <w:t>YJ-Q-125</w:t>
          </w:r>
        </w:p>
      </w:tc>
    </w:tr>
    <w:tr>
      <w:trPr>
        <w:trHeight w:val="380" w:hRule="exact"/>
        <w:cantSplit/>
      </w:trPr>
      <w:tc>
        <w:tcPr>
          <w:tcW w:w="6600" w:type="dxa"/>
          <w:gridSpan w:val="4"/>
          <w:vMerge w:val="continue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Times New Roman" w:hAnsi="Times New Roman" w:cs="Times New Roman"/>
            </w:rPr>
          </w:pPr>
          <w:r>
            <w:rPr>
              <w:rFonts w:eastAsia="黑体" w:cs="Times New Roman" w:ascii="Times New Roman" w:hAnsi="Times New Roman"/>
              <w:sz w:val="24"/>
            </w:rPr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ascii="Times New Roman" w:hAnsi="Times New Roman" w:cs="Times New Roman" w:eastAsia="黑体"/>
              <w:sz w:val="24"/>
            </w:rPr>
            <w:t>发行日期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eastAsia="黑体" w:cs="Times New Roman" w:ascii="Times New Roman" w:hAnsi="Times New Roman"/>
              <w:sz w:val="24"/>
            </w:rPr>
            <w:t>2026.</w:t>
          </w:r>
          <w:r>
            <w:rPr>
              <w:rFonts w:eastAsia="黑体" w:cs="Times New Roman" w:hint="eastAsia" w:ascii="Times New Roman" w:hAnsi="Times New Roman"/>
              <w:sz w:val="24"/>
            </w:rPr>
            <w:t>4</w:t>
          </w:r>
          <w:r>
            <w:rPr>
              <w:rFonts w:eastAsia="黑体" w:cs="Times New Roman" w:ascii="Times New Roman" w:hAnsi="Times New Roman"/>
              <w:sz w:val="24"/>
            </w:rPr>
            <w:t>.1</w:t>
          </w:r>
          <w:r>
            <w:rPr>
              <w:rFonts w:eastAsia="黑体" w:cs="Times New Roman" w:hint="eastAsia" w:ascii="Times New Roman" w:hAnsi="Times New Roman"/>
              <w:sz w:val="24"/>
            </w:rPr>
            <w:t>5</w:t>
          </w:r>
        </w:p>
      </w:tc>
    </w:tr>
    <w:tr>
      <w:trPr>
        <w:trHeight w:val="380" w:hRule="exact"/>
        <w:cantSplit/>
      </w:trPr>
      <w:tc>
        <w:tcPr>
          <w:tcW w:w="1616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hint="eastAsia" w:eastAsia="黑体"/>
              <w:sz w:val="24"/>
            </w:rPr>
            <w:t>物料编码</w:t>
          </w:r>
        </w:p>
      </w:tc>
      <w:tc>
        <w:tcPr>
          <w:tcW w:w="8084" w:type="dxa"/>
          <w:gridSpan w:val="5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start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hint="eastAsia" w:eastAsia="黑体"/>
              <w:sz w:val="24"/>
            </w:rPr>
            <w:t>原料：亚硫酸钙球</w:t>
          </w:r>
          <w:r>
            <w:rPr>
              <w:rStyle w:val="PageNumber"/>
              <w:rFonts w:eastAsia="黑体" w:cs="Times New Roman" w:hint="eastAsia" w:ascii="Times New Roman" w:hAnsi="Times New Roman"/>
              <w:sz w:val="24"/>
            </w:rPr>
            <w:t>Y-CAS-23</w:t>
          </w:r>
          <w:r>
            <w:rPr>
              <w:rStyle w:val="PageNumber"/>
              <w:rFonts w:ascii="Times New Roman" w:hAnsi="Times New Roman" w:cs="Times New Roman" w:hint="eastAsia" w:eastAsia="黑体"/>
              <w:sz w:val="24"/>
            </w:rPr>
            <w:t>，成品：</w:t>
          </w:r>
          <w:r>
            <w:rPr>
              <w:rStyle w:val="PageNumber"/>
              <w:rFonts w:eastAsia="黑体" w:cs="Times New Roman" w:ascii="Times New Roman" w:hAnsi="Times New Roman"/>
              <w:sz w:val="24"/>
            </w:rPr>
            <w:t>CAS-18</w:t>
          </w:r>
        </w:p>
      </w:tc>
    </w:tr>
    <w:tr>
      <w:trPr>
        <w:trHeight w:val="380" w:hRule="exact"/>
        <w:cantSplit/>
      </w:trPr>
      <w:tc>
        <w:tcPr>
          <w:tcW w:w="1616" w:type="dxa"/>
          <w:tcBorders>
            <w:top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版本</w:t>
          </w:r>
          <w:r>
            <w:rPr>
              <w:rStyle w:val="PageNumber"/>
              <w:rFonts w:eastAsia="黑体" w:cs="Times New Roman" w:ascii="Times New Roman" w:hAnsi="Times New Roman"/>
              <w:sz w:val="24"/>
            </w:rPr>
            <w:t>/</w:t>
          </w:r>
          <w:r>
            <w:rPr>
              <w:rStyle w:val="PageNumber"/>
              <w:rFonts w:ascii="Times New Roman" w:hAnsi="Times New Roman" w:cs="Times New Roman" w:eastAsia="黑体"/>
              <w:sz w:val="24"/>
            </w:rPr>
            <w:t>版次</w:t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eastAsia="黑体" w:cs="Times New Roman" w:ascii="Times New Roman" w:hAnsi="Times New Roman"/>
              <w:sz w:val="24"/>
            </w:rPr>
            <w:t>A0</w:t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管控状态</w:t>
          </w:r>
        </w:p>
      </w:tc>
      <w:tc>
        <w:tcPr>
          <w:tcW w:w="175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受  控</w:t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页  次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  <w:szCs w:val="21"/>
            </w:rPr>
            <w:t>第</w:t>
          </w:r>
          <w:r>
            <w:rPr>
              <w:rStyle w:val="PageNumber"/>
              <w:rFonts w:ascii="Times New Roman" w:hAnsi="Times New Roman" w:cs="Times New Roman" w:eastAsia="黑体"/>
              <w:sz w:val="24"/>
            </w:rPr>
            <w:t xml:space="preserve"> </w:t>
          </w:r>
          <w:r>
            <w:rPr>
              <w:rStyle w:val="PageNumber"/>
              <w:rFonts w:eastAsia="黑体" w:cs="Times New Roman" w:ascii="Times New Roman" w:hAnsi="Times New Roman"/>
              <w:sz w:val="24"/>
            </w:rPr>
            <w:t xml:space="preserve">1 </w:t>
          </w:r>
          <w:r>
            <w:rPr>
              <w:rStyle w:val="PageNumber"/>
              <w:rFonts w:ascii="Times New Roman" w:hAnsi="Times New Roman" w:cs="Times New Roman" w:eastAsia="黑体"/>
              <w:sz w:val="24"/>
              <w:szCs w:val="21"/>
            </w:rPr>
            <w:t>页</w:t>
          </w:r>
          <w:r>
            <w:rPr>
              <w:rStyle w:val="PageNumber"/>
              <w:rFonts w:eastAsia="黑体" w:cs="Times New Roman" w:ascii="Times New Roman" w:hAnsi="Times New Roman"/>
              <w:sz w:val="24"/>
              <w:szCs w:val="21"/>
            </w:rPr>
            <w:t>/</w:t>
          </w:r>
          <w:r>
            <w:rPr>
              <w:rStyle w:val="PageNumber"/>
              <w:rFonts w:ascii="Times New Roman" w:hAnsi="Times New Roman" w:cs="Times New Roman" w:eastAsia="黑体"/>
              <w:sz w:val="24"/>
              <w:szCs w:val="21"/>
            </w:rPr>
            <w:t>共</w:t>
          </w:r>
          <w:r>
            <w:rPr>
              <w:rStyle w:val="PageNumber"/>
              <w:rFonts w:eastAsia="黑体" w:cs="Times New Roman" w:ascii="Times New Roman" w:hAnsi="Times New Roman"/>
              <w:sz w:val="24"/>
              <w:szCs w:val="21"/>
            </w:rPr>
            <w:t>3</w:t>
          </w:r>
          <w:r>
            <w:rPr>
              <w:rStyle w:val="PageNumber"/>
              <w:rFonts w:ascii="Times New Roman" w:hAnsi="Times New Roman" w:cs="Times New Roman" w:eastAsia="黑体"/>
              <w:sz w:val="24"/>
              <w:szCs w:val="21"/>
            </w:rPr>
            <w:t>页</w:t>
          </w:r>
        </w:p>
      </w:tc>
    </w:tr>
  </w:tbl>
  <w:p>
    <w:pPr>
      <w:pStyle w:val="Header"/>
      <w:spacing w:lineRule="auto" w:line="60"/>
      <w:rPr>
        <w:rFonts w:hint="eastAsia"/>
        <w:sz w:val="10"/>
      </w:rPr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evenAndOddHeaders/>
  <w:compat>
    <w:doNotExpandShiftReturn/>
    <w:doNotBreakWrappedTables/>
    <w:compatSetting w:name="compatibilityMode" w:uri="http://schemas.microsoft.com/office/word" w:val="11"/>
  </w:compat>
  <w:docVars>
    <w:docVar w:name="commondata" w:val="eyJoZGlkIjoiYTMwMWJkNThmZWM4NThhNDEwN2NkMmRmNTU3ZWNhNzk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新宋体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overflowPunct w:val="false"/>
      <w:autoSpaceDE w:val="false"/>
      <w:bidi w:val="0"/>
      <w:textAlignment w:val="baseline"/>
    </w:pPr>
    <w:rPr>
      <w:rFonts w:ascii="Arial" w:hAnsi="Arial" w:eastAsia="宋体" w:cs="Arial"/>
      <w:color w:val="auto"/>
      <w:sz w:val="20"/>
      <w:szCs w:val="20"/>
      <w:lang w:bidi="ar-SA" w:val="en-US" w:eastAsia="zh-CN"/>
    </w:rPr>
  </w:style>
  <w:style w:type="paragraph" w:styleId="Heading1">
    <w:name w:val="heading 1"/>
    <w:basedOn w:val="Normal"/>
    <w:next w:val="Normal"/>
    <w:pPr>
      <w:keepNext w:val="true"/>
      <w:numPr>
        <w:ilvl w:val="0"/>
        <w:numId w:val="1"/>
      </w:numPr>
      <w:suppressLineNumbers/>
      <w:suppressAutoHyphens w:val="true"/>
      <w:overflowPunct w:val="true"/>
      <w:autoSpaceDE w:val="true"/>
      <w:spacing w:lineRule="auto" w:line="360"/>
      <w:jc w:val="center"/>
      <w:outlineLvl w:val="0"/>
    </w:pPr>
    <w:rPr>
      <w:rFonts w:ascii="Bookman Old Style;Segoe Print" w:hAnsi="Bookman Old Style;Segoe Print" w:cs="Bookman Old Style;Segoe Print"/>
      <w:b/>
      <w:sz w:val="36"/>
    </w:rPr>
  </w:style>
  <w:style w:type="paragraph" w:styleId="Heading2">
    <w:name w:val="heading 2"/>
    <w:basedOn w:val="Normal"/>
    <w:next w:val="Style13"/>
    <w:pPr>
      <w:keepNext w:val="true"/>
      <w:numPr>
        <w:ilvl w:val="1"/>
        <w:numId w:val="1"/>
      </w:numPr>
      <w:suppressLineNumbers/>
      <w:suppressAutoHyphens w:val="true"/>
      <w:overflowPunct w:val="true"/>
      <w:autoSpaceDE w:val="true"/>
      <w:spacing w:lineRule="auto" w:line="360"/>
      <w:jc w:val="center"/>
      <w:outlineLvl w:val="1"/>
    </w:pPr>
    <w:rPr>
      <w:rFonts w:ascii="Bookman Old Style;Segoe Print" w:hAnsi="Bookman Old Style;Segoe Print" w:cs="Bookman Old Style;Segoe Print"/>
      <w:b/>
      <w:sz w:val="48"/>
    </w:rPr>
  </w:style>
  <w:style w:type="paragraph" w:styleId="Heading3">
    <w:name w:val="heading 3"/>
    <w:basedOn w:val="Normal"/>
    <w:next w:val="Style13"/>
    <w:pPr>
      <w:keepNext w:val="true"/>
      <w:numPr>
        <w:ilvl w:val="2"/>
        <w:numId w:val="1"/>
      </w:numPr>
      <w:suppressLineNumbers/>
      <w:suppressAutoHyphens w:val="true"/>
      <w:overflowPunct w:val="true"/>
      <w:autoSpaceDE w:val="true"/>
      <w:spacing w:lineRule="auto" w:line="360"/>
      <w:jc w:val="center"/>
      <w:outlineLvl w:val="2"/>
    </w:pPr>
    <w:rPr>
      <w:rFonts w:ascii="AvantGarde Md BT;Trebuchet MS" w:hAnsi="AvantGarde Md BT;Trebuchet MS" w:cs="AvantGarde Md BT;Trebuchet MS"/>
      <w:b/>
      <w:sz w:val="44"/>
    </w:rPr>
  </w:style>
  <w:style w:type="character" w:styleId="Style11">
    <w:name w:val="默认段落字体"/>
    <w:rPr/>
  </w:style>
  <w:style w:type="character" w:styleId="PageNumber">
    <w:name w:val="page number"/>
    <w:rPr/>
  </w:style>
  <w:style w:type="character" w:styleId="Emphasis">
    <w:name w:val="Emphasis"/>
    <w:rPr>
      <w:rFonts w:ascii="Arial" w:hAnsi="Arial" w:cs="Arial"/>
      <w:b/>
      <w:spacing w:val="-10"/>
      <w:sz w:val="18"/>
    </w:rPr>
  </w:style>
  <w:style w:type="character" w:styleId="Style12">
    <w:name w:val="消息标题号"/>
    <w:rPr>
      <w:rFonts w:ascii="Arial" w:hAnsi="Arial" w:eastAsia="楷体_GB2312;楷体" w:cs="Arial"/>
      <w:b/>
      <w:spacing w:val="-4"/>
      <w:sz w:val="18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Arial" w:hAnsi="Arial" w:eastAsia="微软雅黑" w:cs="Lucida Sans"/>
      <w:sz w:val="28"/>
      <w:szCs w:val="28"/>
    </w:rPr>
  </w:style>
  <w:style w:type="paragraph" w:styleId="BodyText">
    <w:name w:val="Body Text"/>
    <w:basedOn w:val="Normal"/>
    <w:pPr>
      <w:overflowPunct w:val="true"/>
      <w:autoSpaceDE w:val="true"/>
      <w:spacing w:lineRule="auto" w:line="533"/>
      <w:ind w:hanging="0" w:start="840" w:end="-120"/>
      <w:textAlignment w:val="auto"/>
    </w:pPr>
    <w:rPr>
      <w:rFonts w:ascii="Times New Roman" w:hAnsi="Times New Roman" w:cs="Times New Roman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Style13">
    <w:name w:val="正文缩进"/>
    <w:basedOn w:val="Normal"/>
    <w:pPr>
      <w:ind w:firstLine="420" w:start="0" w:end="0"/>
    </w:pPr>
    <w:rPr/>
  </w:style>
  <w:style w:type="paragraph" w:styleId="3">
    <w:name w:val="正文文本 3"/>
    <w:basedOn w:val="Normal"/>
    <w:pPr>
      <w:overflowPunct w:val="true"/>
      <w:autoSpaceDE w:val="true"/>
      <w:textAlignment w:val="auto"/>
    </w:pPr>
    <w:rPr>
      <w:rFonts w:ascii="Times New Roman" w:hAnsi="Times New Roman" w:cs="Times New Roman"/>
      <w:sz w:val="18"/>
    </w:rPr>
  </w:style>
  <w:style w:type="paragraph" w:styleId="BodyTextIndent">
    <w:name w:val="Body Text Indent"/>
    <w:basedOn w:val="Normal"/>
    <w:pPr>
      <w:suppressLineNumbers/>
      <w:suppressAutoHyphens w:val="true"/>
      <w:overflowPunct w:val="true"/>
      <w:autoSpaceDE w:val="true"/>
      <w:spacing w:lineRule="auto" w:line="360"/>
      <w:ind w:firstLine="567" w:start="0" w:end="0"/>
      <w:jc w:val="both"/>
    </w:pPr>
    <w:rPr>
      <w:rFonts w:ascii="宋体" w:hAnsi="宋体"/>
      <w:sz w:val="24"/>
    </w:rPr>
  </w:style>
  <w:style w:type="paragraph" w:styleId="Style14">
    <w:name w:val="文本块"/>
    <w:basedOn w:val="Normal"/>
    <w:pPr>
      <w:spacing w:lineRule="auto" w:line="360"/>
      <w:ind w:firstLine="482" w:start="170" w:end="170"/>
    </w:pPr>
    <w:rPr>
      <w:rFonts w:ascii="楷体_GB2312;楷体" w:hAnsi="楷体_GB2312;楷体"/>
      <w:color w:val="000000"/>
      <w:sz w:val="21"/>
    </w:rPr>
  </w:style>
  <w:style w:type="paragraph" w:styleId="2">
    <w:name w:val="正文文本缩进 2"/>
    <w:basedOn w:val="Normal"/>
    <w:pPr>
      <w:suppressLineNumbers/>
      <w:suppressAutoHyphens w:val="true"/>
      <w:overflowPunct w:val="true"/>
      <w:autoSpaceDE w:val="true"/>
      <w:spacing w:lineRule="auto" w:line="360"/>
      <w:ind w:firstLine="284" w:start="0" w:end="0"/>
      <w:jc w:val="both"/>
    </w:pPr>
    <w:rPr>
      <w:rFonts w:ascii="宋体" w:hAnsi="宋体"/>
      <w:sz w:val="24"/>
    </w:rPr>
  </w:style>
  <w:style w:type="paragraph" w:styleId="HeaderandFooter">
    <w:name w:val="Header and Footer"/>
    <w:basedOn w:val="Normal"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31">
    <w:name w:val="正文文本缩进 3"/>
    <w:basedOn w:val="Normal"/>
    <w:pPr>
      <w:ind w:firstLineChars="200" w:startChars="120" w:endChars="0" w:end="0"/>
    </w:pPr>
    <w:rPr>
      <w:rFonts w:ascii="黑体" w:hAnsi="黑体" w:eastAsia="黑体"/>
      <w:sz w:val="24"/>
    </w:rPr>
  </w:style>
  <w:style w:type="paragraph" w:styleId="21">
    <w:name w:val="正文文本 2"/>
    <w:basedOn w:val="Normal"/>
    <w:pPr>
      <w:overflowPunct w:val="true"/>
      <w:autoSpaceDE w:val="true"/>
      <w:textAlignment w:val="auto"/>
    </w:pPr>
    <w:rPr>
      <w:rFonts w:ascii="Times New Roman" w:hAnsi="Times New Roman" w:cs="Times New Roman"/>
      <w:sz w:val="21"/>
    </w:rPr>
  </w:style>
  <w:style w:type="paragraph" w:styleId="Style15">
    <w:name w:val="ÕýÎÄ"/>
    <w:pPr>
      <w:widowControl w:val="false"/>
      <w:overflowPunct w:val="false"/>
      <w:autoSpaceDE w:val="false"/>
      <w:bidi w:val="0"/>
      <w:jc w:val="both"/>
      <w:textAlignment w:val="baseline"/>
    </w:pPr>
    <w:rPr>
      <w:rFonts w:ascii="Times New Roman" w:hAnsi="Times New Roman" w:eastAsia="宋体" w:cs="Times New Roman"/>
      <w:color w:val="auto"/>
      <w:kern w:val="2"/>
      <w:sz w:val="21"/>
      <w:szCs w:val="20"/>
      <w:lang w:bidi="ar-SA" w:val="en-US" w:eastAsia="zh-CN"/>
    </w:rPr>
  </w:style>
  <w:style w:type="paragraph" w:styleId="Style16">
    <w:name w:val="传真标题"/>
    <w:basedOn w:val="Normal"/>
    <w:pPr>
      <w:ind w:firstLineChars="190" w:startChars="0" w:start="0" w:endChars="0" w:end="0"/>
    </w:pPr>
    <w:rPr>
      <w:sz w:val="21"/>
    </w:rPr>
  </w:style>
  <w:style w:type="paragraph" w:styleId="Style17">
    <w:name w:val="文档标签"/>
    <w:next w:val="Normal"/>
    <w:pPr>
      <w:widowControl/>
      <w:bidi w:val="0"/>
      <w:spacing w:lineRule="exact" w:line="600" w:before="100" w:after="720"/>
      <w:ind w:hanging="0" w:start="840" w:end="0"/>
    </w:pPr>
    <w:rPr>
      <w:rFonts w:ascii="Times New Roman" w:hAnsi="Times New Roman" w:eastAsia="宋体" w:cs="Times New Roman"/>
      <w:color w:val="auto"/>
      <w:spacing w:val="-34"/>
      <w:sz w:val="60"/>
      <w:szCs w:val="20"/>
      <w:lang w:bidi="ar-SA" w:val="en-US" w:eastAsia="zh-CN"/>
    </w:rPr>
  </w:style>
  <w:style w:type="paragraph" w:styleId="Style18">
    <w:name w:val="徽标"/>
    <w:basedOn w:val="Normal"/>
    <w:pPr>
      <w:overflowPunct w:val="true"/>
      <w:autoSpaceDE w:val="true"/>
      <w:textAlignment w:val="auto"/>
    </w:pPr>
    <w:rPr>
      <w:rFonts w:ascii="Times New Roman" w:hAnsi="Times New Roman" w:cs="Times New Roman"/>
    </w:rPr>
  </w:style>
  <w:style w:type="paragraph" w:styleId="Default">
    <w:name w:val="Default"/>
    <w:pPr>
      <w:widowControl/>
      <w:suppressAutoHyphens w:val="true"/>
      <w:autoSpaceDE w:val="false"/>
      <w:bidi w:val="0"/>
    </w:pPr>
    <w:rPr>
      <w:rFonts w:ascii="宋体" w:hAnsi="宋体" w:eastAsia="宋体" w:cs="宋体"/>
      <w:color w:val="000000"/>
      <w:sz w:val="24"/>
      <w:szCs w:val="24"/>
      <w:lang w:eastAsia="ar-SA" w:bidi="ar-SA" w:val="en-US"/>
    </w:rPr>
  </w:style>
  <w:style w:type="paragraph" w:styleId="1">
    <w:name w:val="复选框1"/>
    <w:basedOn w:val="Normal"/>
    <w:pPr>
      <w:overflowPunct w:val="true"/>
      <w:autoSpaceDE w:val="true"/>
      <w:spacing w:before="360" w:after="360"/>
      <w:textAlignment w:val="auto"/>
    </w:pPr>
    <w:rPr>
      <w:rFonts w:ascii="Times New Roman" w:hAnsi="Times New Roman" w:cs="Times New Roman"/>
    </w:rPr>
  </w:style>
  <w:style w:type="paragraph" w:styleId="22">
    <w:name w:val="ÕýÎÄÎÄ×Ö 2"/>
    <w:basedOn w:val="Style15"/>
    <w:pPr>
      <w:jc w:val="center"/>
    </w:pPr>
    <w:rPr/>
  </w:style>
  <w:style w:type="paragraph" w:styleId="Style19">
    <w:name w:val="列表段落"/>
    <w:basedOn w:val="Normal"/>
    <w:pPr>
      <w:ind w:firstLineChars="200" w:startChars="0" w:start="0" w:endChars="0" w:end="0"/>
    </w:pPr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LibreOfficeDev/26.8.0.3$Windows_X86_64 LibreOffice_project/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2023-02-17T15:45:00Z</dcterms:created>
  <dc:creator>洪忠华</dc:creator>
  <dc:description/>
  <dc:language>en-US</dc:language>
  <cp:lastModifiedBy>绕指间</cp:lastModifiedBy>
  <cp:lastPrinted>2022-07-23T11:29:00Z</cp:lastPrinted>
  <dcterms:modified xsi:type="dcterms:W3CDTF">2026-08-14T11:13:04Z</dcterms:modified>
  <cp:revision>2</cp:revision>
  <dc:subject/>
  <dc:title>内部质量审核管理程序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B53AAE7729A64702876DAE9D9C96ED7F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eyJoZGlkIjoiNGI2Mjc0YjRmZGEwMDdiNzYyYWE4NDhlYTlmZjQ4MjciLCJ1c2VySWQiOiI1OTQ0ODcwNTkifQ==</vt:lpwstr>
  </property>
</Properties>
</file>