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300"/>
        <w:ind w:end="17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/>
          <w:sz w:val="24"/>
        </w:rPr>
        <w:t>文件修订履历</w:t>
      </w:r>
    </w:p>
    <w:tbl>
      <w:tblPr>
        <w:tblW w:w="8214" w:type="dxa"/>
        <w:jc w:val="start"/>
        <w:tblInd w:w="7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2"/>
        <w:gridCol w:w="3588"/>
        <w:gridCol w:w="1705"/>
        <w:gridCol w:w="1679"/>
      </w:tblGrid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版本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修订理由与内容简述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修订日期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拟定</w:t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widowControl w:val="false"/>
        <w:spacing w:lineRule="auto" w:line="300"/>
        <w:ind w:firstLineChars="100" w:startChars="0" w:start="0" w:endChars="0" w:end="0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tbl>
      <w:tblPr>
        <w:tblW w:w="8314" w:type="dxa"/>
        <w:jc w:val="start"/>
        <w:tblInd w:w="65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2"/>
        <w:gridCol w:w="3500"/>
        <w:gridCol w:w="2562"/>
      </w:tblGrid>
      <w:tr>
        <w:trPr>
          <w:trHeight w:val="751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制  定：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发行副本章：</w:t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907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审  核：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核  准：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spacing w:lineRule="exact" w:line="360"/>
        <w:ind w:end="258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>目的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规定自制料成品的检验方法和步骤，确保满足规定要求。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Cs/>
          <w:sz w:val="24"/>
          <w:szCs w:val="24"/>
        </w:rPr>
        <w:t>范围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宋体" w:cs="Times New Roman"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适用于</w:t>
      </w:r>
      <w:r>
        <w:rPr>
          <w:rFonts w:ascii="Times New Roman" w:hAnsi="Times New Roman" w:cs="Times New Roman" w:hint="eastAsia"/>
          <w:bCs/>
          <w:sz w:val="24"/>
          <w:szCs w:val="24"/>
        </w:rPr>
        <w:t>钾长石</w:t>
      </w:r>
      <w:r>
        <w:rPr>
          <w:rFonts w:ascii="Times New Roman" w:hAnsi="Times New Roman" w:cs="Times New Roman"/>
          <w:bCs/>
          <w:sz w:val="24"/>
          <w:szCs w:val="24"/>
        </w:rPr>
        <w:t>的质量检验工作</w:t>
      </w:r>
      <w:r>
        <w:rPr>
          <w:rFonts w:ascii="Times New Roman" w:hAnsi="Times New Roman" w:cs="Times New Roman"/>
          <w:sz w:val="24"/>
          <w:szCs w:val="24"/>
        </w:rPr>
        <w:t>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>职责和权限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本规范的实施者是</w:t>
      </w:r>
      <w:r>
        <w:rPr>
          <w:rFonts w:ascii="Times New Roman" w:hAnsi="Times New Roman" w:cs="Times New Roman" w:hint="eastAsia"/>
          <w:bCs/>
          <w:sz w:val="24"/>
          <w:szCs w:val="24"/>
        </w:rPr>
        <w:t>品质部</w:t>
      </w:r>
      <w:r>
        <w:rPr>
          <w:rFonts w:ascii="Times New Roman" w:hAnsi="Times New Roman" w:cs="Times New Roman"/>
          <w:bCs/>
          <w:sz w:val="24"/>
          <w:szCs w:val="24"/>
        </w:rPr>
        <w:t>，</w:t>
      </w:r>
      <w:r>
        <w:rPr>
          <w:rFonts w:ascii="Times New Roman" w:hAnsi="Times New Roman" w:cs="Times New Roman" w:hint="eastAsia"/>
          <w:bCs/>
          <w:sz w:val="24"/>
          <w:szCs w:val="24"/>
        </w:rPr>
        <w:t>品质部</w:t>
      </w:r>
      <w:r>
        <w:rPr>
          <w:rFonts w:ascii="Times New Roman" w:hAnsi="Times New Roman" w:cs="Times New Roman"/>
          <w:bCs/>
          <w:sz w:val="24"/>
          <w:szCs w:val="24"/>
        </w:rPr>
        <w:t>严格落实本规范，对实施过程及检验结果负责，并直接向总经理汇报。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Cs/>
          <w:sz w:val="24"/>
          <w:szCs w:val="24"/>
        </w:rPr>
        <w:t>对于本规范未能涵盖的特殊性形，品质部根据总经理授权进行处理。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  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4 </w:t>
      </w:r>
      <w:r>
        <w:rPr>
          <w:rFonts w:ascii="Times New Roman" w:hAnsi="Times New Roman" w:cs="Times New Roman"/>
          <w:bCs/>
          <w:sz w:val="24"/>
          <w:szCs w:val="24"/>
        </w:rPr>
        <w:t>取样要求</w:t>
      </w:r>
    </w:p>
    <w:p>
      <w:pPr>
        <w:pStyle w:val="Style19"/>
        <w:widowControl w:val="false"/>
        <w:overflowPunct w:val="true"/>
        <w:autoSpaceDE w:val="true"/>
        <w:spacing w:lineRule="auto" w:line="360"/>
        <w:ind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4.1 </w:t>
      </w:r>
      <w:r>
        <w:rPr>
          <w:rFonts w:ascii="Times New Roman" w:hAnsi="Times New Roman" w:cs="Times New Roman"/>
          <w:bCs/>
          <w:sz w:val="24"/>
          <w:szCs w:val="24"/>
        </w:rPr>
        <w:t>每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1</w:t>
      </w:r>
      <w:r>
        <w:rPr>
          <w:rFonts w:eastAsia="宋体" w:cs="Times New Roman" w:ascii="Times New Roman" w:hAnsi="Times New Roman"/>
          <w:bCs/>
          <w:sz w:val="24"/>
          <w:szCs w:val="24"/>
        </w:rPr>
        <w:t>00kg</w:t>
      </w:r>
      <w:r>
        <w:rPr>
          <w:rFonts w:ascii="Times New Roman" w:hAnsi="Times New Roman" w:cs="Times New Roman"/>
          <w:bCs/>
          <w:sz w:val="24"/>
          <w:szCs w:val="24"/>
        </w:rPr>
        <w:t>取样</w:t>
      </w:r>
      <w:r>
        <w:rPr>
          <w:rFonts w:eastAsia="宋体" w:cs="Times New Roman"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个，每个样品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2</w:t>
      </w:r>
      <w:r>
        <w:rPr>
          <w:rFonts w:eastAsia="宋体" w:cs="Times New Roman" w:ascii="Times New Roman" w:hAnsi="Times New Roman"/>
          <w:bCs/>
          <w:sz w:val="24"/>
          <w:szCs w:val="24"/>
        </w:rPr>
        <w:t>00g</w:t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  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5 </w:t>
      </w:r>
      <w:r>
        <w:rPr>
          <w:rFonts w:ascii="Times New Roman" w:hAnsi="Times New Roman" w:cs="Times New Roman"/>
          <w:bCs/>
          <w:sz w:val="24"/>
          <w:szCs w:val="24"/>
        </w:rPr>
        <w:t>检验项目</w:t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  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5.1 </w:t>
      </w:r>
      <w:r>
        <w:rPr>
          <w:rFonts w:ascii="Times New Roman" w:hAnsi="Times New Roman" w:cs="Times New Roman"/>
          <w:bCs/>
          <w:sz w:val="24"/>
          <w:szCs w:val="24"/>
        </w:rPr>
        <w:t>原料（</w:t>
      </w:r>
      <w:r>
        <w:rPr>
          <w:rFonts w:eastAsia="宋体" w:cs="Times New Roman" w:ascii="Times New Roman" w:hAnsi="Times New Roman"/>
          <w:bCs/>
          <w:sz w:val="24"/>
          <w:szCs w:val="24"/>
        </w:rPr>
        <w:t>Y-K-20120</w:t>
      </w:r>
      <w:r>
        <w:rPr>
          <w:rFonts w:ascii="Times New Roman" w:hAnsi="Times New Roman" w:cs="Times New Roman"/>
          <w:bCs/>
          <w:sz w:val="24"/>
          <w:szCs w:val="24"/>
        </w:rPr>
        <w:t>）</w:t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545"/>
        <w:gridCol w:w="2655"/>
        <w:gridCol w:w="3550"/>
      </w:tblGrid>
      <w:tr>
        <w:trPr>
          <w:trHeight w:val="47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检验项目</w:t>
            </w:r>
          </w:p>
        </w:tc>
        <w:tc>
          <w:tcPr>
            <w:tcW w:w="77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接受标准及方法</w:t>
            </w:r>
          </w:p>
        </w:tc>
      </w:tr>
      <w:tr>
        <w:trPr>
          <w:trHeight w:val="118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卫生安全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镉增加量≤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铅增加量≤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0.001mg/L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铬增加量≤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铁增加量≤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0.06mg/L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锰增加量≤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铝增加量≤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铜增加量≤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锌增加量≤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银增加量≤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砷增加量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镍增加量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mg/L</w:t>
            </w:r>
          </w:p>
        </w:tc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材料加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00ml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浸泡液润洗两次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加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浸泡液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摇匀浸泡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24±1h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，中速滤纸过滤；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测试离子浓度。</w:t>
            </w:r>
          </w:p>
        </w:tc>
      </w:tr>
      <w:tr>
        <w:trPr>
          <w:trHeight w:val="156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性能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散料：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钾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增加量≥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0.08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mg/L</w:t>
            </w:r>
          </w:p>
        </w:tc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材料加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纯水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润洗两次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加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纯水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摇匀浸泡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30min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，中速滤纸过滤；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测试离子浓度。</w:t>
            </w:r>
          </w:p>
        </w:tc>
      </w:tr>
      <w:tr>
        <w:trPr>
          <w:trHeight w:val="1234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目数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100g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0-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12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目占比≥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80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称取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20-120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目钾长石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100g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，从上到下依次放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目、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120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目筛网进行震动筛分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5min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称量目数区间占比。</w:t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 w:hint="eastAsia"/>
          <w:sz w:val="24"/>
          <w:szCs w:val="24"/>
        </w:rPr>
      </w:pPr>
      <w:r>
        <w:rPr>
          <w:rFonts w:eastAsia="宋体" w:cs="Times New Roman" w:hint="eastAsia" w:ascii="Times New Roman" w:hAnsi="Times New Roman"/>
          <w:sz w:val="24"/>
          <w:szCs w:val="24"/>
        </w:rPr>
        <w:t xml:space="preserve">  </w:t>
      </w:r>
    </w:p>
    <w:p>
      <w:pPr>
        <w:pStyle w:val="Normal"/>
        <w:spacing w:lineRule="auto" w:line="360"/>
        <w:rPr>
          <w:rFonts w:ascii="Times New Roman" w:hAnsi="Times New Roman" w:eastAsia="宋体" w:cs="Times New Roman" w:hint="eastAsia"/>
          <w:sz w:val="24"/>
          <w:szCs w:val="24"/>
        </w:rPr>
      </w:pPr>
      <w:r>
        <w:rPr>
          <w:rFonts w:eastAsia="宋体" w:cs="Times New Roman" w:hint="eastAsia" w:ascii="Times New Roman" w:hAnsi="Times New Roman"/>
          <w:sz w:val="24"/>
          <w:szCs w:val="24"/>
        </w:rPr>
        <w:t xml:space="preserve">5.2 </w:t>
      </w:r>
      <w:r>
        <w:rPr>
          <w:rFonts w:ascii="Times New Roman" w:hAnsi="Times New Roman" w:cs="Times New Roman" w:hint="eastAsia"/>
          <w:sz w:val="24"/>
          <w:szCs w:val="24"/>
        </w:rPr>
        <w:t>成品</w:t>
      </w:r>
      <w:r>
        <w:rPr>
          <w:rFonts w:ascii="Times New Roman" w:hAnsi="Times New Roman" w:cs="Times New Roman" w:hint="eastAsia"/>
          <w:bCs/>
          <w:sz w:val="24"/>
          <w:szCs w:val="24"/>
        </w:rPr>
        <w:t>（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TB-20120</w:t>
      </w:r>
      <w:r>
        <w:rPr>
          <w:rFonts w:ascii="Times New Roman" w:hAnsi="Times New Roman" w:cs="Times New Roman" w:hint="eastAsia"/>
          <w:bCs/>
          <w:sz w:val="24"/>
          <w:szCs w:val="24"/>
        </w:rPr>
        <w:t>）</w:t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995"/>
        <w:gridCol w:w="2040"/>
        <w:gridCol w:w="3715"/>
      </w:tblGrid>
      <w:tr>
        <w:trPr>
          <w:trHeight w:val="47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检验项目</w:t>
            </w:r>
          </w:p>
        </w:tc>
        <w:tc>
          <w:tcPr>
            <w:tcW w:w="77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接受标准及方法</w:t>
            </w:r>
          </w:p>
        </w:tc>
      </w:tr>
      <w:tr>
        <w:trPr>
          <w:trHeight w:val="118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浊度</w:t>
            </w:r>
          </w:p>
        </w:tc>
        <w:tc>
          <w:tcPr>
            <w:tcW w:w="19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100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g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增加值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0NTU</w:t>
            </w:r>
          </w:p>
        </w:tc>
        <w:tc>
          <w:tcPr>
            <w:tcW w:w="37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100g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来料，加入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1000ml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纯水，搅拌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，浸泡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1h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，再搅拌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静置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5min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后，取其上清液，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测试浊度及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tds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。</w:t>
            </w:r>
          </w:p>
        </w:tc>
      </w:tr>
      <w:tr>
        <w:trPr>
          <w:trHeight w:val="118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tds</w:t>
            </w:r>
          </w:p>
        </w:tc>
        <w:tc>
          <w:tcPr>
            <w:tcW w:w="19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增加值≤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</w:t>
            </w:r>
          </w:p>
        </w:tc>
        <w:tc>
          <w:tcPr>
            <w:tcW w:w="37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 w:hint="eastAsia"/>
          <w:bCs/>
          <w:sz w:val="24"/>
          <w:szCs w:val="24"/>
          <w:highlight w:val="none"/>
        </w:rPr>
      </w:pPr>
      <w:r>
        <w:rPr>
          <w:rFonts w:eastAsia="宋体" w:cs="Times New Roman" w:hint="eastAsia" w:ascii="Times New Roman" w:hAnsi="Times New Roman"/>
          <w:bCs/>
          <w:sz w:val="24"/>
          <w:szCs w:val="24"/>
        </w:rPr>
        <w:t xml:space="preserve">7  </w:t>
      </w:r>
      <w:r>
        <w:rPr>
          <w:rFonts w:ascii="Times New Roman" w:hAnsi="Times New Roman" w:cs="Times New Roman" w:hint="eastAsia"/>
          <w:bCs/>
          <w:sz w:val="24"/>
          <w:szCs w:val="24"/>
        </w:rPr>
        <w:t>检验结果处理方式</w:t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7.1 </w:t>
      </w:r>
      <w:r>
        <w:rPr>
          <w:rFonts w:ascii="Times New Roman" w:hAnsi="Times New Roman" w:cs="Times New Roman"/>
          <w:bCs/>
          <w:sz w:val="24"/>
          <w:szCs w:val="24"/>
        </w:rPr>
        <w:t>原料（</w:t>
      </w:r>
      <w:r>
        <w:rPr>
          <w:rFonts w:eastAsia="宋体" w:cs="Times New Roman" w:ascii="Times New Roman" w:hAnsi="Times New Roman"/>
          <w:bCs/>
          <w:sz w:val="24"/>
          <w:szCs w:val="24"/>
        </w:rPr>
        <w:t>Y-K-20120</w:t>
      </w:r>
      <w:r>
        <w:rPr>
          <w:rFonts w:ascii="Times New Roman" w:hAnsi="Times New Roman" w:cs="Times New Roman"/>
          <w:bCs/>
          <w:sz w:val="24"/>
          <w:szCs w:val="24"/>
        </w:rPr>
        <w:t>）</w:t>
      </w:r>
    </w:p>
    <w:tbl>
      <w:tblPr>
        <w:tblW w:w="6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52"/>
        <w:gridCol w:w="1678"/>
        <w:gridCol w:w="1679"/>
        <w:gridCol w:w="1679"/>
      </w:tblGrid>
      <w:tr>
        <w:trPr>
          <w:trHeight w:val="784" w:hRule="atLeast"/>
        </w:trPr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检验项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卫生安全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钾增加值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目数</w:t>
            </w:r>
          </w:p>
        </w:tc>
      </w:tr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检验结果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</w:tr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 w:hint="eastAsia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处理方式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 w:hint="eastAsia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退货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退货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 w:hint="eastAsia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退货</w:t>
            </w:r>
          </w:p>
        </w:tc>
      </w:tr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备注</w:t>
            </w:r>
          </w:p>
        </w:tc>
        <w:tc>
          <w:tcPr>
            <w:tcW w:w="503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全项合格，入库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7.2 </w:t>
      </w:r>
      <w:r>
        <w:rPr>
          <w:rFonts w:ascii="Times New Roman" w:hAnsi="Times New Roman" w:cs="Times New Roman"/>
          <w:sz w:val="24"/>
          <w:szCs w:val="24"/>
        </w:rPr>
        <w:t>成品</w:t>
      </w:r>
      <w:r>
        <w:rPr>
          <w:rFonts w:ascii="Times New Roman" w:hAnsi="Times New Roman" w:cs="Times New Roman" w:hint="eastAsia"/>
          <w:bCs/>
          <w:sz w:val="24"/>
          <w:szCs w:val="24"/>
        </w:rPr>
        <w:t>（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TB-20120</w:t>
      </w:r>
      <w:r>
        <w:rPr>
          <w:rFonts w:ascii="Times New Roman" w:hAnsi="Times New Roman" w:cs="Times New Roman" w:hint="eastAsia"/>
          <w:bCs/>
          <w:sz w:val="24"/>
          <w:szCs w:val="24"/>
        </w:rPr>
        <w:t>）</w:t>
      </w:r>
    </w:p>
    <w:p>
      <w:pPr>
        <w:pStyle w:val="Normal"/>
        <w:ind w:firstLine="222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333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52"/>
        <w:gridCol w:w="1678"/>
      </w:tblGrid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检验结果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</w:tr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 w:hint="eastAsia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处理方式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重新清洗</w:t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3" w:right="969" w:gutter="0" w:header="1191" w:top="1247" w:footer="549" w:bottom="605"/>
      <w:pgBorders w:display="allPages" w:offsetFrom="text">
        <w:top w:val="double" w:sz="4" w:space="0" w:color="000000"/>
        <w:left w:val="double" w:sz="4" w:space="0" w:color="000000"/>
        <w:bottom w:val="double" w:sz="4" w:space="0" w:color="000000"/>
        <w:right w:val="double" w:sz="4" w:space="4" w:color="000000"/>
      </w:pgBorders>
      <w:pgNumType w:start="1" w:fmt="decimal"/>
      <w:formProt w:val="false"/>
      <w:titlePg/>
      <w:textDirection w:val="lrTb"/>
      <w:docGrid w:type="default" w:linePitch="27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0"/>
    <w:family w:val="swiss"/>
    <w:pitch w:val="default"/>
  </w:font>
  <w:font w:name="Bookman Old Style">
    <w:altName w:val="Segoe Print"/>
    <w:charset w:val="00"/>
    <w:family w:val="roman"/>
    <w:pitch w:val="default"/>
  </w:font>
  <w:font w:name="AvantGarde Md BT">
    <w:altName w:val="Trebuchet MS"/>
    <w:charset w:val="00"/>
    <w:family w:val="swiss"/>
    <w:pitch w:val="default"/>
  </w:font>
  <w:font w:name="Arial">
    <w:charset w:val="01"/>
    <w:family w:val="swiss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黑体">
    <w:charset w:val="86"/>
    <w:family w:val="auto"/>
    <w:pitch w:val="default"/>
  </w:font>
  <w:font w:name="华文中宋">
    <w:altName w:val="宋体"/>
    <w:charset w:val="86"/>
    <w:family w:val="auto"/>
    <w:pitch w:val="default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lineRule="auto" w:line="60"/>
      <w:rPr>
        <w:sz w:val="10"/>
      </w:rPr>
    </w:pPr>
    <w:r>
      <w:rPr>
        <w:sz w:val="1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钾长石原料及成品检验规范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YJ-Q-130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2026.4.25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 w:hint="eastAsia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Fonts w:ascii="Times New Roman" w:hAnsi="Times New Roman" w:eastAsia="黑体" w:cs="Times New Roman" w:hint="eastAsia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原料：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Y-K-20120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，成品：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TB-20120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</w:t>
          </w:r>
          <w:r>
            <w:rPr>
              <w:rStyle w:val="PageNumber"/>
              <w:rFonts w:eastAsia="黑体" w:cs="宋体" w:ascii="黑体" w:hAnsi="黑体"/>
              <w:sz w:val="24"/>
            </w:rPr>
            <w:t>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hint="eastAsia" w:ascii="黑体" w:hAnsi="黑体"/>
              <w:sz w:val="24"/>
            </w:rPr>
            <w:t>2</w:t>
          </w:r>
          <w:r>
            <w:rPr>
              <w:rStyle w:val="PageNumber"/>
              <w:rFonts w:eastAsia="黑体" w:ascii="黑体" w:hAnsi="黑体"/>
              <w:sz w:val="24"/>
            </w:rPr>
            <w:t xml:space="preserve"> 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3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ascii="Times New Roman" w:hAnsi="Times New Roman" w:cs="Times New Roman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Times New Roman" w:hAnsi="Times New Roman" w:eastAsia="华文中宋;宋体" w:cs="Times New Roman"/>
              <w:bCs/>
              <w:sz w:val="40"/>
              <w:szCs w:val="40"/>
            </w:rPr>
          </w:pPr>
          <w:r>
            <w:rPr>
              <w:rFonts w:ascii="Times New Roman" w:hAnsi="Times New Roman" w:cs="Times New Roman" w:eastAsia="华文中宋;宋体"/>
              <w:sz w:val="40"/>
              <w:szCs w:val="22"/>
            </w:rPr>
            <w:t>钾长石原料及成品检验规范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YJ-Q-130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Times New Roman" w:hAnsi="Times New Roman" w:cs="Times New Roman"/>
            </w:rPr>
          </w:pPr>
          <w:r>
            <w:rPr>
              <w:rFonts w:eastAsia="黑体" w:cs="Times New Roman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ascii="Times New Roman" w:hAnsi="Times New Roman"/>
              <w:sz w:val="24"/>
            </w:rPr>
            <w:t>2026.4.25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原料：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Y-K-20120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，成品：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TB-20120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版本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eastAsia="黑体" w:cs="Times New Roman" w:ascii="Times New Roman" w:hAnsi="Times New Roman"/>
              <w:sz w:val="24"/>
            </w:rPr>
            <w:t>A0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第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 xml:space="preserve"> 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 xml:space="preserve">3 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3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</w:p>
      </w:tc>
    </w:tr>
  </w:tbl>
  <w:p>
    <w:pPr>
      <w:pStyle w:val="Header"/>
      <w:snapToGrid w:val="false"/>
      <w:spacing w:lineRule="auto" w:line="60"/>
      <w:rPr>
        <w:sz w:val="10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钾长石原料及成品检验规范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YJ-Q-130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2026.4.25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 w:hint="eastAsia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Fonts w:ascii="Times New Roman" w:hAnsi="Times New Roman" w:eastAsia="黑体" w:cs="Times New Roman" w:hint="eastAsia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原料：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Y-K-20120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，成品：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TB-20120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</w:t>
          </w:r>
          <w:r>
            <w:rPr>
              <w:rStyle w:val="PageNumber"/>
              <w:rFonts w:eastAsia="黑体" w:cs="宋体" w:ascii="黑体" w:hAnsi="黑体"/>
              <w:sz w:val="24"/>
            </w:rPr>
            <w:t>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ascii="黑体" w:hAnsi="黑体"/>
              <w:sz w:val="24"/>
            </w:rPr>
            <w:t xml:space="preserve">1 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3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</w:tbl>
  <w:p>
    <w:pPr>
      <w:pStyle w:val="Header"/>
      <w:spacing w:lineRule="auto" w:line="60"/>
      <w:rPr>
        <w:rFonts w:hint="eastAsia"/>
        <w:sz w:val="10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  <w:docVars>
    <w:docVar w:name="commondata" w:val="eyJoZGlkIjoiYTMwMWJkNThmZWM4NThhNDEwN2NkMmRmNTU3ZWNhNz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overflowPunct w:val="false"/>
      <w:autoSpaceDE w:val="false"/>
      <w:bidi w:val="0"/>
      <w:textAlignment w:val="baseline"/>
    </w:pPr>
    <w:rPr>
      <w:rFonts w:ascii="Arial" w:hAnsi="Arial" w:eastAsia="宋体" w:cs="Arial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0"/>
    </w:pPr>
    <w:rPr>
      <w:rFonts w:ascii="Bookman Old Style;Segoe Print" w:hAnsi="Bookman Old Style;Segoe Print" w:cs="Bookman Old Style;Segoe Print"/>
      <w:b/>
      <w:sz w:val="36"/>
    </w:rPr>
  </w:style>
  <w:style w:type="paragraph" w:styleId="Heading2">
    <w:name w:val="heading 2"/>
    <w:basedOn w:val="Normal"/>
    <w:next w:val="Style13"/>
    <w:pPr>
      <w:keepNext w:val="true"/>
      <w:numPr>
        <w:ilvl w:val="1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1"/>
    </w:pPr>
    <w:rPr>
      <w:rFonts w:ascii="Bookman Old Style;Segoe Print" w:hAnsi="Bookman Old Style;Segoe Print" w:cs="Bookman Old Style;Segoe Print"/>
      <w:b/>
      <w:sz w:val="48"/>
    </w:rPr>
  </w:style>
  <w:style w:type="paragraph" w:styleId="Heading3">
    <w:name w:val="heading 3"/>
    <w:basedOn w:val="Normal"/>
    <w:next w:val="Style13"/>
    <w:pPr>
      <w:keepNext w:val="true"/>
      <w:numPr>
        <w:ilvl w:val="2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2"/>
    </w:pPr>
    <w:rPr>
      <w:rFonts w:ascii="AvantGarde Md BT;Trebuchet MS" w:hAnsi="AvantGarde Md BT;Trebuchet MS" w:cs="AvantGarde Md BT;Trebuchet MS"/>
      <w:b/>
      <w:sz w:val="44"/>
    </w:rPr>
  </w:style>
  <w:style w:type="character" w:styleId="Style11">
    <w:name w:val="默认段落字体"/>
    <w:rPr/>
  </w:style>
  <w:style w:type="character" w:styleId="PageNumber">
    <w:name w:val="page number"/>
    <w:rPr/>
  </w:style>
  <w:style w:type="character" w:styleId="Emphasis">
    <w:name w:val="Emphasis"/>
    <w:rPr>
      <w:rFonts w:ascii="Arial" w:hAnsi="Arial" w:cs="Arial"/>
      <w:b/>
      <w:spacing w:val="-10"/>
      <w:sz w:val="18"/>
    </w:rPr>
  </w:style>
  <w:style w:type="character" w:styleId="Style12">
    <w:name w:val="消息标题号"/>
    <w:rPr>
      <w:rFonts w:ascii="Arial" w:hAnsi="Arial" w:eastAsia="楷体_GB2312;楷体" w:cs="Arial"/>
      <w:b/>
      <w:spacing w:val="-4"/>
      <w:sz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微软雅黑" w:cs="Lucida Sans"/>
      <w:sz w:val="28"/>
      <w:szCs w:val="28"/>
    </w:rPr>
  </w:style>
  <w:style w:type="paragraph" w:styleId="BodyText">
    <w:name w:val="Body Text"/>
    <w:basedOn w:val="Normal"/>
    <w:pPr>
      <w:overflowPunct w:val="true"/>
      <w:autoSpaceDE w:val="true"/>
      <w:spacing w:lineRule="auto" w:line="533"/>
      <w:ind w:hanging="0" w:start="840" w:end="-120"/>
      <w:textAlignment w:val="auto"/>
    </w:pPr>
    <w:rPr>
      <w:rFonts w:ascii="Times New Roman" w:hAnsi="Times New Roman" w:cs="Times New Roma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13">
    <w:name w:val="正文缩进"/>
    <w:basedOn w:val="Normal"/>
    <w:pPr>
      <w:ind w:firstLine="420" w:start="0" w:end="0"/>
    </w:pPr>
    <w:rPr/>
  </w:style>
  <w:style w:type="paragraph" w:styleId="3">
    <w:name w:val="正文文本 3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18"/>
    </w:rPr>
  </w:style>
  <w:style w:type="paragraph" w:styleId="BodyTextIndent">
    <w:name w:val="Body Text Indent"/>
    <w:basedOn w:val="Normal"/>
    <w:pPr>
      <w:suppressLineNumbers/>
      <w:suppressAutoHyphens w:val="true"/>
      <w:overflowPunct w:val="true"/>
      <w:autoSpaceDE w:val="true"/>
      <w:spacing w:lineRule="auto" w:line="360"/>
      <w:ind w:firstLine="567" w:start="0" w:end="0"/>
      <w:jc w:val="both"/>
    </w:pPr>
    <w:rPr>
      <w:rFonts w:ascii="宋体" w:hAnsi="宋体"/>
      <w:sz w:val="24"/>
    </w:rPr>
  </w:style>
  <w:style w:type="paragraph" w:styleId="Style14">
    <w:name w:val="文本块"/>
    <w:basedOn w:val="Normal"/>
    <w:pPr>
      <w:spacing w:lineRule="auto" w:line="360"/>
      <w:ind w:firstLine="482" w:start="170" w:end="170"/>
    </w:pPr>
    <w:rPr>
      <w:rFonts w:ascii="楷体_GB2312;楷体" w:hAnsi="楷体_GB2312;楷体"/>
      <w:color w:val="000000"/>
      <w:sz w:val="21"/>
    </w:rPr>
  </w:style>
  <w:style w:type="paragraph" w:styleId="2">
    <w:name w:val="正文文本缩进 2"/>
    <w:basedOn w:val="Normal"/>
    <w:pPr>
      <w:suppressLineNumbers/>
      <w:suppressAutoHyphens w:val="true"/>
      <w:overflowPunct w:val="true"/>
      <w:autoSpaceDE w:val="true"/>
      <w:spacing w:lineRule="auto" w:line="360"/>
      <w:ind w:firstLine="284" w:start="0" w:end="0"/>
      <w:jc w:val="both"/>
    </w:pPr>
    <w:rPr>
      <w:rFonts w:ascii="宋体" w:hAnsi="宋体"/>
      <w:sz w:val="24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31">
    <w:name w:val="正文文本缩进 3"/>
    <w:basedOn w:val="Normal"/>
    <w:pPr>
      <w:ind w:firstLineChars="200" w:startChars="120" w:endChars="0" w:end="0"/>
    </w:pPr>
    <w:rPr>
      <w:rFonts w:ascii="黑体" w:hAnsi="黑体" w:eastAsia="黑体"/>
      <w:sz w:val="24"/>
    </w:rPr>
  </w:style>
  <w:style w:type="paragraph" w:styleId="21">
    <w:name w:val="正文文本 2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21"/>
    </w:rPr>
  </w:style>
  <w:style w:type="paragraph" w:styleId="Style15">
    <w:name w:val="ÕýÎÄ"/>
    <w:pPr>
      <w:widowControl w:val="false"/>
      <w:overflowPunct w:val="false"/>
      <w:autoSpaceDE w:val="false"/>
      <w:bidi w:val="0"/>
      <w:jc w:val="both"/>
      <w:textAlignment w:val="baseline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Style16">
    <w:name w:val="传真标题"/>
    <w:basedOn w:val="Normal"/>
    <w:pPr>
      <w:ind w:firstLineChars="190" w:startChars="0" w:start="0" w:endChars="0" w:end="0"/>
    </w:pPr>
    <w:rPr>
      <w:sz w:val="21"/>
    </w:rPr>
  </w:style>
  <w:style w:type="paragraph" w:styleId="Style17">
    <w:name w:val="文档标签"/>
    <w:next w:val="Normal"/>
    <w:pPr>
      <w:widowControl/>
      <w:bidi w:val="0"/>
      <w:spacing w:lineRule="exact" w:line="600" w:before="100" w:after="720"/>
      <w:ind w:hanging="0" w:start="840" w:end="0"/>
    </w:pPr>
    <w:rPr>
      <w:rFonts w:ascii="Times New Roman" w:hAnsi="Times New Roman" w:eastAsia="宋体" w:cs="Times New Roman"/>
      <w:color w:val="auto"/>
      <w:spacing w:val="-34"/>
      <w:sz w:val="60"/>
      <w:szCs w:val="20"/>
      <w:lang w:bidi="ar-SA" w:val="en-US" w:eastAsia="zh-CN"/>
    </w:rPr>
  </w:style>
  <w:style w:type="paragraph" w:styleId="Style18">
    <w:name w:val="徽标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</w:rPr>
  </w:style>
  <w:style w:type="paragraph" w:styleId="Default">
    <w:name w:val="Default"/>
    <w:pPr>
      <w:widowControl/>
      <w:suppressAutoHyphens w:val="true"/>
      <w:autoSpaceDE w:val="false"/>
      <w:bidi w:val="0"/>
    </w:pPr>
    <w:rPr>
      <w:rFonts w:ascii="宋体" w:hAnsi="宋体" w:eastAsia="宋体" w:cs="宋体"/>
      <w:color w:val="000000"/>
      <w:sz w:val="24"/>
      <w:szCs w:val="24"/>
      <w:lang w:eastAsia="ar-SA" w:bidi="ar-SA" w:val="en-US"/>
    </w:rPr>
  </w:style>
  <w:style w:type="paragraph" w:styleId="1">
    <w:name w:val="复选框1"/>
    <w:basedOn w:val="Normal"/>
    <w:pPr>
      <w:overflowPunct w:val="true"/>
      <w:autoSpaceDE w:val="true"/>
      <w:spacing w:before="360" w:after="360"/>
      <w:textAlignment w:val="auto"/>
    </w:pPr>
    <w:rPr>
      <w:rFonts w:ascii="Times New Roman" w:hAnsi="Times New Roman" w:cs="Times New Roman"/>
    </w:rPr>
  </w:style>
  <w:style w:type="paragraph" w:styleId="22">
    <w:name w:val="ÕýÎÄÎÄ×Ö 2"/>
    <w:basedOn w:val="Style15"/>
    <w:pPr>
      <w:jc w:val="center"/>
    </w:pPr>
    <w:rPr/>
  </w:style>
  <w:style w:type="paragraph" w:styleId="Style19">
    <w:name w:val="列表段落"/>
    <w:basedOn w:val="Normal"/>
    <w:pPr>
      <w:ind w:firstLineChars="200" w:startChars="0" w:start="0" w:endChars="0" w:end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2023-02-17T15:45:00Z</dcterms:created>
  <dc:creator>洪忠华</dc:creator>
  <dc:description/>
  <dc:language>en-US</dc:language>
  <cp:lastModifiedBy>绕指间</cp:lastModifiedBy>
  <cp:lastPrinted>2022-07-23T11:29:00Z</cp:lastPrinted>
  <dcterms:modified xsi:type="dcterms:W3CDTF">2026-07-15T19:35:56Z</dcterms:modified>
  <cp:revision>2</cp:revision>
  <dc:subject/>
  <dc:title>内部质量审核管理程序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B53AAE7729A64702876DAE9D9C96ED7F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eyJoZGlkIjoiNGI2Mjc0YjRmZGEwMDdiNzYyYWE4NDhlYTlmZjQ4MjciLCJ1c2VySWQiOiI1OTQ0ODcwNTkifQ==</vt:lpwstr>
  </property>
</Properties>
</file>