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300"/>
        <w:ind w:end="17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文件修订履历</w:t>
      </w:r>
    </w:p>
    <w:tbl>
      <w:tblPr>
        <w:tblW w:w="821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2"/>
        <w:gridCol w:w="3588"/>
        <w:gridCol w:w="1668"/>
        <w:gridCol w:w="1716"/>
      </w:tblGrid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版本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修订理由与内容简述</w:t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修订日期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拟定</w:t>
            </w:r>
          </w:p>
        </w:tc>
      </w:tr>
      <w:tr>
        <w:trPr>
          <w:trHeight w:val="658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firstLineChars="0" w:firstLine="0" w:startChars="0" w:start="0" w:endChars="0" w:end="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cs="Times New Roman" w:hint="eastAsia" w:ascii="Times New Roman" w:hAnsi="Times New Roman"/>
                <w:sz w:val="24"/>
              </w:rPr>
              <w:t>A1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firstLineChars="0" w:firstLine="0" w:startChars="0" w:start="0" w:endChars="0" w:end="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原料名称变更</w:t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firstLineChars="0" w:firstLine="0" w:startChars="0" w:start="0" w:endChars="0" w:end="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2026/4/14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overflowPunct w:val="true"/>
              <w:autoSpaceDE w:val="true"/>
              <w:snapToGrid w:val="false"/>
              <w:spacing w:lineRule="auto" w:line="240"/>
              <w:ind w:firstLineChars="0" w:firstLine="0" w:startChars="0" w:start="0" w:endChars="201"/>
              <w:jc w:val="start"/>
              <w:textAlignment w:val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58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firstLineChars="100" w:startChars="0" w:start="0" w:endChars="0" w:end="0"/>
              <w:jc w:val="both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A2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新加重金属含量测试</w:t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2026/8/15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true"/>
              <w:autoSpaceDE w:val="true"/>
              <w:snapToGrid w:val="false"/>
              <w:spacing w:lineRule="auto" w:line="240"/>
              <w:ind w:firstLineChars="0" w:firstLine="0" w:startChars="0" w:start="0" w:endChars="201"/>
              <w:jc w:val="both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58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cs="Times New Roman" w:hint="eastAsia" w:ascii="Times New Roman" w:hAnsi="Times New Roman"/>
                <w:sz w:val="24"/>
              </w:rPr>
              <w:t>A3</w:t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删除物料</w:t>
            </w:r>
            <w:r>
              <w:rPr>
                <w:rFonts w:cs="Times New Roman" w:hint="eastAsia" w:ascii="Times New Roman" w:hAnsi="Times New Roman"/>
                <w:sz w:val="24"/>
              </w:rPr>
              <w:t>BK1</w:t>
            </w:r>
            <w:r>
              <w:rPr>
                <w:rFonts w:ascii="Times New Roman" w:hAnsi="Times New Roman" w:cs="Times New Roman" w:hint="eastAsia"/>
                <w:sz w:val="24"/>
              </w:rPr>
              <w:t>、</w:t>
            </w:r>
            <w:r>
              <w:rPr>
                <w:rFonts w:cs="Times New Roman" w:hint="eastAsia" w:ascii="Times New Roman" w:hAnsi="Times New Roman"/>
                <w:sz w:val="24"/>
              </w:rPr>
              <w:t>BK1-DS10/06</w:t>
            </w:r>
            <w:r>
              <w:rPr>
                <w:rFonts w:ascii="Times New Roman" w:hAnsi="Times New Roman" w:cs="Times New Roman" w:hint="eastAsia"/>
                <w:sz w:val="24"/>
              </w:rPr>
              <w:t>、</w:t>
            </w:r>
            <w:r>
              <w:rPr>
                <w:rFonts w:cs="Times New Roman" w:hint="eastAsia" w:ascii="Times New Roman" w:hAnsi="Times New Roman"/>
                <w:sz w:val="24"/>
              </w:rPr>
              <w:t>BK1-DS02/10</w:t>
            </w:r>
            <w:r>
              <w:rPr>
                <w:rFonts w:ascii="Times New Roman" w:hAnsi="Times New Roman" w:cs="Times New Roman" w:hint="eastAsia"/>
                <w:sz w:val="24"/>
              </w:rPr>
              <w:t>、</w:t>
            </w:r>
            <w:r>
              <w:rPr>
                <w:rFonts w:cs="Times New Roman" w:hint="eastAsia" w:ascii="Times New Roman" w:hAnsi="Times New Roman"/>
                <w:sz w:val="24"/>
              </w:rPr>
              <w:t>BK1-A</w:t>
            </w:r>
            <w:r>
              <w:rPr>
                <w:rFonts w:ascii="Times New Roman" w:hAnsi="Times New Roman" w:cs="Times New Roman" w:hint="eastAsia"/>
                <w:sz w:val="24"/>
              </w:rPr>
              <w:t>，新增物料</w:t>
            </w:r>
            <w:r>
              <w:rPr>
                <w:rFonts w:cs="Times New Roman" w:hint="eastAsia" w:ascii="Times New Roman" w:hAnsi="Times New Roman"/>
                <w:sz w:val="24"/>
              </w:rPr>
              <w:t>BK2-D</w:t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cs="Times New Roman" w:hint="eastAsia" w:ascii="Times New Roman" w:hAnsi="Times New Roman"/>
                <w:sz w:val="24"/>
              </w:rPr>
              <w:t>2026/9/22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widowControl w:val="false"/>
        <w:spacing w:lineRule="auto" w:line="300"/>
        <w:ind w:firstLineChars="100" w:startChars="0" w:start="0" w:endChars="0" w:end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tbl>
      <w:tblPr>
        <w:tblW w:w="8314" w:type="dxa"/>
        <w:jc w:val="start"/>
        <w:tblInd w:w="65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2"/>
        <w:gridCol w:w="3500"/>
        <w:gridCol w:w="2562"/>
      </w:tblGrid>
      <w:tr>
        <w:trPr>
          <w:trHeight w:val="751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制  定：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发行副本章：</w:t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907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审  核：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660" w:hRule="atLeast"/>
          <w:cantSplit/>
        </w:trPr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00"/>
              <w:ind w:end="17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核  准：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00"/>
              <w:ind w:end="17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</w:r>
    </w:p>
    <w:p>
      <w:pPr>
        <w:pStyle w:val="Normal"/>
        <w:rPr>
          <w:rFonts w:ascii="Times New Roman" w:hAnsi="Times New Roman" w:eastAsia="宋体" w:cs="Times New Roman"/>
          <w:position w:val="0"/>
          <w:sz w:val="24"/>
          <w:vertAlign w:val="baseline"/>
        </w:rPr>
      </w:pPr>
      <w:r>
        <w:rPr>
          <w:rFonts w:cs="Times New Roman" w:ascii="Times New Roman" w:hAnsi="Times New Roman"/>
        </w:rPr>
        <w:t xml:space="preserve">                                                   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eastAsia="宋体" w:cs="Times New Roman" w:ascii="Times New Roman" w:hAnsi="Times New Roman"/>
          <w:bCs/>
          <w:position w:val="0"/>
          <w:sz w:val="24"/>
          <w:szCs w:val="24"/>
          <w:vertAlign w:val="baseline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Cs/>
          <w:sz w:val="28"/>
          <w:szCs w:val="28"/>
        </w:rPr>
        <w:t>目的</w:t>
      </w:r>
    </w:p>
    <w:p>
      <w:pPr>
        <w:pStyle w:val="Normal"/>
        <w:widowControl w:val="false"/>
        <w:overflowPunct w:val="true"/>
        <w:autoSpaceDE w:val="true"/>
        <w:spacing w:lineRule="auto" w:line="312"/>
        <w:ind w:hangingChars="200" w:startChars="0" w:start="0" w:endChars="201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Cs/>
          <w:sz w:val="24"/>
          <w:szCs w:val="24"/>
        </w:rPr>
        <w:t>规定</w:t>
      </w:r>
      <w:r>
        <w:rPr>
          <w:rFonts w:cs="Times New Roman" w:ascii="Times New Roman" w:hAnsi="Times New Roman"/>
          <w:bCs/>
          <w:sz w:val="24"/>
          <w:szCs w:val="24"/>
        </w:rPr>
        <w:t>SMS</w:t>
      </w:r>
      <w:r>
        <w:rPr>
          <w:rFonts w:ascii="Times New Roman" w:hAnsi="Times New Roman" w:cs="Times New Roman"/>
          <w:bCs/>
          <w:sz w:val="24"/>
          <w:szCs w:val="24"/>
        </w:rPr>
        <w:t>成品</w:t>
      </w:r>
      <w:r>
        <w:rPr>
          <w:rFonts w:cs="Times New Roman" w:ascii="Times New Roman" w:hAnsi="Times New Roman"/>
          <w:bCs/>
          <w:sz w:val="24"/>
          <w:szCs w:val="24"/>
        </w:rPr>
        <w:t>BK1</w:t>
      </w:r>
      <w:r>
        <w:rPr>
          <w:rFonts w:ascii="Times New Roman" w:hAnsi="Times New Roman" w:cs="Times New Roman" w:hint="eastAsia"/>
          <w:bCs/>
          <w:sz w:val="24"/>
          <w:szCs w:val="24"/>
        </w:rPr>
        <w:t>系列及</w:t>
      </w:r>
      <w:r>
        <w:rPr>
          <w:rFonts w:cs="Times New Roman" w:hint="eastAsia" w:ascii="Times New Roman" w:hAnsi="Times New Roman"/>
          <w:bCs/>
          <w:sz w:val="24"/>
          <w:szCs w:val="24"/>
        </w:rPr>
        <w:t>BK2</w:t>
      </w:r>
      <w:r>
        <w:rPr>
          <w:rFonts w:ascii="Times New Roman" w:hAnsi="Times New Roman" w:cs="Times New Roman" w:hint="eastAsia"/>
          <w:bCs/>
          <w:sz w:val="24"/>
          <w:szCs w:val="24"/>
        </w:rPr>
        <w:t>系列</w:t>
      </w:r>
      <w:r>
        <w:rPr>
          <w:rFonts w:ascii="Times New Roman" w:hAnsi="Times New Roman" w:cs="Times New Roman"/>
          <w:bCs/>
          <w:sz w:val="24"/>
          <w:szCs w:val="24"/>
        </w:rPr>
        <w:t>料的检验方法和步骤，确保满足规定要求。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Cs/>
          <w:sz w:val="28"/>
          <w:szCs w:val="28"/>
        </w:rPr>
        <w:t>适用范围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bCs/>
          <w:sz w:val="24"/>
          <w:szCs w:val="24"/>
        </w:rPr>
        <w:t>适用于</w:t>
      </w:r>
      <w:r>
        <w:rPr>
          <w:rFonts w:cs="Times New Roman" w:ascii="Times New Roman" w:hAnsi="Times New Roman"/>
          <w:bCs/>
          <w:sz w:val="24"/>
          <w:szCs w:val="24"/>
        </w:rPr>
        <w:t>SMS</w:t>
      </w:r>
      <w:r>
        <w:rPr>
          <w:rFonts w:ascii="Times New Roman" w:hAnsi="Times New Roman" w:cs="Times New Roman"/>
          <w:bCs/>
          <w:sz w:val="24"/>
          <w:szCs w:val="24"/>
        </w:rPr>
        <w:t>成品</w:t>
      </w:r>
      <w:r>
        <w:rPr>
          <w:rFonts w:cs="Times New Roman" w:ascii="Times New Roman" w:hAnsi="Times New Roman"/>
          <w:bCs/>
          <w:sz w:val="24"/>
          <w:szCs w:val="24"/>
        </w:rPr>
        <w:t>BK1</w:t>
      </w:r>
      <w:r>
        <w:rPr>
          <w:rFonts w:ascii="Times New Roman" w:hAnsi="Times New Roman" w:cs="Times New Roman" w:hint="eastAsia"/>
          <w:bCs/>
          <w:sz w:val="24"/>
          <w:szCs w:val="24"/>
        </w:rPr>
        <w:t>系列及</w:t>
      </w:r>
      <w:r>
        <w:rPr>
          <w:rFonts w:cs="Times New Roman" w:hint="eastAsia" w:ascii="Times New Roman" w:hAnsi="Times New Roman"/>
          <w:bCs/>
          <w:sz w:val="24"/>
          <w:szCs w:val="24"/>
        </w:rPr>
        <w:t>BK2</w:t>
      </w:r>
      <w:r>
        <w:rPr>
          <w:rFonts w:ascii="Times New Roman" w:hAnsi="Times New Roman" w:cs="Times New Roman" w:hint="eastAsia"/>
          <w:bCs/>
          <w:sz w:val="24"/>
          <w:szCs w:val="24"/>
        </w:rPr>
        <w:t>系列</w:t>
      </w:r>
      <w:r>
        <w:rPr>
          <w:rFonts w:ascii="Times New Roman" w:hAnsi="Times New Roman" w:cs="Times New Roman"/>
          <w:bCs/>
          <w:sz w:val="24"/>
          <w:szCs w:val="24"/>
        </w:rPr>
        <w:t>料的质量检验工作</w:t>
      </w:r>
      <w:r>
        <w:rPr>
          <w:rFonts w:ascii="Times New Roman" w:hAnsi="Times New Roman" w:cs="Times New Roman"/>
          <w:sz w:val="24"/>
          <w:szCs w:val="24"/>
        </w:rPr>
        <w:t>。</w:t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0" w:firstLine="0" w:startChars="0" w:start="0" w:endChars="201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overflowPunct w:val="true"/>
        <w:autoSpaceDE w:val="true"/>
        <w:spacing w:lineRule="auto" w:line="312"/>
        <w:ind w:firstLineChars="100" w:startChars="0" w:start="0" w:endChars="201"/>
        <w:textAlignment w:val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Cs/>
          <w:sz w:val="28"/>
          <w:szCs w:val="28"/>
        </w:rPr>
        <w:t>职责和权限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本规范的实施者是品质部，品质部严格落实本规范，对实施过程及检验结果负责，并直接向总经理汇报。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对于本规范未能涵盖的特殊性形，品质部根据总经理授权进行处理。</w:t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 </w:t>
      </w:r>
      <w:r>
        <w:rPr>
          <w:rFonts w:cs="Times New Roman" w:ascii="Times New Roman" w:hAnsi="Times New Roman"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bCs/>
          <w:sz w:val="28"/>
          <w:szCs w:val="28"/>
        </w:rPr>
        <w:t>取样要求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每批次</w:t>
      </w:r>
      <w:r>
        <w:rPr>
          <w:rFonts w:cs="Times New Roman" w:ascii="Times New Roman" w:hAnsi="Times New Roman"/>
          <w:bCs/>
          <w:sz w:val="24"/>
          <w:szCs w:val="24"/>
        </w:rPr>
        <w:t>55~60kg</w:t>
      </w:r>
      <w:r>
        <w:rPr>
          <w:rFonts w:ascii="Times New Roman" w:hAnsi="Times New Roman" w:cs="Times New Roman"/>
          <w:bCs/>
          <w:sz w:val="24"/>
          <w:szCs w:val="24"/>
        </w:rPr>
        <w:t>取样</w:t>
      </w:r>
      <w:r>
        <w:rPr>
          <w:rFonts w:cs="Times New Roman"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个，每个样品半包（约</w:t>
      </w:r>
      <w:r>
        <w:rPr>
          <w:rFonts w:cs="Times New Roman" w:ascii="Times New Roman" w:hAnsi="Times New Roman"/>
          <w:bCs/>
          <w:sz w:val="24"/>
          <w:szCs w:val="24"/>
        </w:rPr>
        <w:t>500g</w:t>
      </w:r>
      <w:r>
        <w:rPr>
          <w:rFonts w:ascii="Times New Roman" w:hAnsi="Times New Roman" w:cs="Times New Roman"/>
          <w:bCs/>
          <w:sz w:val="24"/>
          <w:szCs w:val="24"/>
        </w:rPr>
        <w:t>）</w:t>
      </w:r>
    </w:p>
    <w:p>
      <w:pPr>
        <w:pStyle w:val="Style19"/>
        <w:widowControl w:val="false"/>
        <w:overflowPunct w:val="true"/>
        <w:autoSpaceDE w:val="true"/>
        <w:spacing w:lineRule="auto" w:line="360"/>
        <w:ind w:endChars="0" w:end="0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</w:rPr>
        <w:t xml:space="preserve">5 </w:t>
      </w:r>
      <w:r>
        <w:rPr>
          <w:rFonts w:ascii="Times New Roman" w:hAnsi="Times New Roman" w:cs="Times New Roman"/>
          <w:bCs/>
          <w:sz w:val="28"/>
          <w:szCs w:val="28"/>
        </w:rPr>
        <w:t>检验项目</w:t>
      </w:r>
    </w:p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</w:rPr>
        <w:t>5.1  BK1</w:t>
      </w:r>
      <w:r>
        <w:rPr>
          <w:rFonts w:ascii="Times New Roman" w:hAnsi="Times New Roman" w:cs="Times New Roman"/>
          <w:bCs/>
          <w:sz w:val="24"/>
          <w:szCs w:val="24"/>
        </w:rPr>
        <w:t>系列材料成品检验规范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5"/>
        <w:gridCol w:w="4815"/>
        <w:gridCol w:w="1260"/>
        <w:gridCol w:w="2218"/>
      </w:tblGrid>
      <w:tr>
        <w:trPr>
          <w:trHeight w:val="573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检验项目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测试方法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测试仪器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检验标准</w:t>
            </w:r>
          </w:p>
        </w:tc>
      </w:tr>
      <w:tr>
        <w:trPr>
          <w:trHeight w:val="664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水分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star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称</w:t>
            </w:r>
            <w:r>
              <w:rPr>
                <w:rFonts w:eastAsia="宋体" w:cs="Times New Roman" w:ascii="Times New Roman" w:hAnsi="Times New Roman"/>
                <w:sz w:val="24"/>
                <w:szCs w:val="24"/>
              </w:rPr>
              <w:t xml:space="preserve">5g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测试料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，用水分检测仪测定。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水分仪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≤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7%</w:t>
            </w:r>
          </w:p>
        </w:tc>
      </w:tr>
      <w:tr>
        <w:trPr>
          <w:trHeight w:val="158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粒度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开启马尔文粒度仪，设置搅拌转速为</w:t>
            </w: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2500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转</w:t>
            </w: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分钟并启动搅拌，机器调零校正后进行测试，加入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测试料，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不开超声情况下，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待遮光度稳定至</w:t>
            </w:r>
            <w:r>
              <w:rPr>
                <w:rFonts w:eastAsia="宋体" w:cs="Times New Roman" w:ascii="Times New Roman" w:hAnsi="Times New Roman"/>
                <w:bCs/>
                <w:sz w:val="24"/>
                <w:szCs w:val="24"/>
              </w:rPr>
              <w:t>5%~8%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，启动测试，取平均粒度并记录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napToGrid w:val="false"/>
              <w:spacing w:lineRule="auto" w:line="240"/>
              <w:ind w:firstLineChars="0" w:firstLine="0" w:endChars="0" w:end="0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sz w:val="24"/>
                <w:szCs w:val="24"/>
              </w:rPr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both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马尔文粒度仪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overflowPunct w:val="true"/>
              <w:autoSpaceDE w:val="true"/>
              <w:spacing w:lineRule="auto" w:line="240"/>
              <w:ind w:firstLineChars="0" w:firstLine="0" w:startChars="0" w:start="0" w:endChars="201"/>
              <w:jc w:val="start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BK1-D/10</w:t>
            </w:r>
          </w:p>
          <w:p>
            <w:pPr>
              <w:pStyle w:val="Normal"/>
              <w:widowControl w:val="false"/>
              <w:overflowPunct w:val="true"/>
              <w:autoSpaceDE w:val="true"/>
              <w:spacing w:lineRule="auto" w:line="240"/>
              <w:ind w:firstLineChars="0" w:firstLine="0" w:startChars="0" w:start="0" w:endChars="201"/>
              <w:jc w:val="start"/>
              <w:textAlignment w:val="auto"/>
              <w:rPr>
                <w:rFonts w:ascii="Times New Roman" w:hAnsi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D(10)</w:t>
            </w:r>
            <w:r>
              <w:rPr>
                <w:rFonts w:ascii="Times New Roman" w:hAnsi="Times New Roman" w:cs="Times New Roman"/>
                <w:b w:val="false"/>
                <w:bCs w:val="false"/>
                <w:sz w:val="24"/>
                <w:szCs w:val="24"/>
              </w:rPr>
              <w:t>：</w:t>
            </w:r>
            <w:r>
              <w:rPr>
                <w:rFonts w:cs="Times New Roman" w:hint="eastAsia" w:ascii="Times New Roman" w:hAnsi="Times New Roman"/>
                <w:b w:val="false"/>
                <w:bCs w:val="false"/>
                <w:sz w:val="24"/>
                <w:szCs w:val="24"/>
              </w:rPr>
              <w:t>7~12</w:t>
            </w: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um</w:t>
            </w:r>
          </w:p>
          <w:p>
            <w:pPr>
              <w:pStyle w:val="Normal"/>
              <w:widowControl w:val="false"/>
              <w:overflowPunct w:val="true"/>
              <w:autoSpaceDE w:val="true"/>
              <w:spacing w:lineRule="auto" w:line="240"/>
              <w:ind w:firstLineChars="0" w:firstLine="0" w:startChars="0" w:start="0" w:endChars="201"/>
              <w:jc w:val="start"/>
              <w:textAlignment w:val="auto"/>
              <w:rPr>
                <w:rFonts w:ascii="Times New Roman" w:hAnsi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D(90)</w:t>
            </w:r>
            <w:r>
              <w:rPr>
                <w:rFonts w:ascii="Times New Roman" w:hAnsi="Times New Roman" w:cs="Times New Roman" w:hint="eastAsia"/>
                <w:b w:val="false"/>
                <w:bCs w:val="false"/>
                <w:sz w:val="24"/>
                <w:szCs w:val="24"/>
              </w:rPr>
              <w:t>：</w:t>
            </w: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 w:hint="eastAsia"/>
                <w:b w:val="false"/>
                <w:bCs w:val="false"/>
                <w:sz w:val="24"/>
                <w:szCs w:val="24"/>
              </w:rPr>
              <w:t>＜</w:t>
            </w:r>
            <w:r>
              <w:rPr>
                <w:rFonts w:cs="Times New Roman" w:hint="eastAsia" w:ascii="Times New Roman" w:hAnsi="Times New Roman"/>
                <w:b w:val="false"/>
                <w:bCs w:val="false"/>
                <w:sz w:val="24"/>
                <w:szCs w:val="24"/>
              </w:rPr>
              <w:t>60</w:t>
            </w: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um</w:t>
            </w:r>
          </w:p>
        </w:tc>
      </w:tr>
      <w:tr>
        <w:trPr>
          <w:trHeight w:val="1425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是否增粗判断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以上马尔文测试时，观察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测试料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加入水中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漂浮情况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肉眼观察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有粉体漂浮水面</w:t>
            </w:r>
          </w:p>
        </w:tc>
      </w:tr>
      <w:tr>
        <w:trPr>
          <w:trHeight w:val="2460" w:hRule="atLeast"/>
        </w:trPr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重金属含量测试</w:t>
            </w:r>
          </w:p>
        </w:tc>
        <w:tc>
          <w:tcPr>
            <w:tcW w:w="4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以无水氯化钙、碳酸氢钠、氯储备液配置标准浸泡液。称取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材料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250ml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一次性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瓶中，加入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100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浸泡液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密闭后，翻转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避光静置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14~16h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，并配置空白对照样。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取样时再次翻转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次后，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倒出储备液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并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用快速滤纸过滤。滤液再次用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0.45um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针式过滤器过滤，约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滤液加入一滴硝酸，送检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ICP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测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重金属含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量。空白对照需同步测试。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ICP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铝≤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铁≤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60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锰≤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铜≤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锌≤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砷≤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镉≤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铅≤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银≤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总铬≤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镍≤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 ppb</w:t>
            </w:r>
          </w:p>
        </w:tc>
      </w:tr>
    </w:tbl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ind w:firstLineChars="100" w:startChars="0" w:start="0" w:endChars="0" w:end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</w:rPr>
        <w:t>5.2  BK2-B</w:t>
      </w:r>
      <w:r>
        <w:rPr>
          <w:rFonts w:ascii="Times New Roman" w:hAnsi="Times New Roman" w:cs="Times New Roman"/>
          <w:bCs/>
          <w:sz w:val="24"/>
          <w:szCs w:val="24"/>
        </w:rPr>
        <w:t>、</w:t>
      </w:r>
      <w:r>
        <w:rPr>
          <w:rFonts w:cs="Times New Roman" w:ascii="Times New Roman" w:hAnsi="Times New Roman"/>
          <w:bCs/>
          <w:sz w:val="24"/>
          <w:szCs w:val="24"/>
        </w:rPr>
        <w:t>BK2-D</w:t>
      </w:r>
      <w:r>
        <w:rPr>
          <w:rFonts w:ascii="Times New Roman" w:hAnsi="Times New Roman" w:cs="Times New Roman"/>
          <w:bCs/>
          <w:sz w:val="24"/>
          <w:szCs w:val="24"/>
        </w:rPr>
        <w:t>系列料成品检验规范</w:t>
      </w:r>
    </w:p>
    <w:tbl>
      <w:tblPr>
        <w:tblW w:w="95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33"/>
        <w:gridCol w:w="4755"/>
        <w:gridCol w:w="1375"/>
        <w:gridCol w:w="2172"/>
      </w:tblGrid>
      <w:tr>
        <w:trPr>
          <w:trHeight w:val="433" w:hRule="atLeast"/>
        </w:trPr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检验项目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测试方法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测试仪器</w:t>
            </w:r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检验标准</w:t>
            </w:r>
          </w:p>
        </w:tc>
      </w:tr>
      <w:tr>
        <w:trPr>
          <w:trHeight w:val="643" w:hRule="atLeast"/>
        </w:trPr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水分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start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称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测试料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，用水分检测仪测定。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水分仪</w:t>
            </w:r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≤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7%</w:t>
            </w:r>
          </w:p>
        </w:tc>
      </w:tr>
      <w:tr>
        <w:trPr>
          <w:trHeight w:val="633" w:hRule="atLeast"/>
        </w:trPr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目数分布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取测试料 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100g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，用震动筛分机测定目数分布，筛网选用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325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，振动球放置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5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个，开启震动</w:t>
            </w:r>
            <w:r>
              <w:rPr>
                <w:rFonts w:eastAsia="宋体" w:cs="Times New Roman" w:ascii="Times New Roman" w:hAnsi="Times New Roman"/>
                <w:bCs/>
                <w:sz w:val="22"/>
                <w:szCs w:val="22"/>
              </w:rPr>
              <w:t>5min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后停止，称取并计算目数分布。（注意：不开启超声）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振动筛分机</w:t>
            </w:r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-325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目≤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16%</w:t>
            </w:r>
          </w:p>
        </w:tc>
      </w:tr>
      <w:tr>
        <w:trPr>
          <w:trHeight w:val="1931" w:hRule="atLeast"/>
        </w:trPr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是否增粗判断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称取</w:t>
            </w: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1g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左右物料，加入</w:t>
            </w: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100ml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水中，用玻璃棒搅拌约</w:t>
            </w:r>
            <w:r>
              <w:rPr>
                <w:rFonts w:eastAsia="宋体" w:cs="Times New Roman" w:ascii="Times New Roman" w:hAnsi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圈后，观察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测试料在水中分散状态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肉眼观察</w:t>
            </w:r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BK2-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：水中不完全分散，粉体明显漂浮水面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BK2-B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：水中完全分散，无粉体漂浮水面</w:t>
            </w:r>
          </w:p>
        </w:tc>
      </w:tr>
      <w:tr>
        <w:trPr>
          <w:trHeight w:val="1931" w:hRule="atLeast"/>
        </w:trPr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重金属含量测试</w:t>
            </w:r>
          </w:p>
        </w:tc>
        <w:tc>
          <w:tcPr>
            <w:tcW w:w="4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start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以无水氯化钙、碳酸氢钠、氯储备液配置标准浸泡液。称取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10g</w:t>
            </w:r>
            <w:r>
              <w:rPr>
                <w:rFonts w:ascii="Times New Roman" w:hAnsi="Times New Roman" w:cs="Times New Roman" w:hint="eastAsia"/>
                <w:bCs/>
                <w:sz w:val="22"/>
                <w:szCs w:val="22"/>
              </w:rPr>
              <w:t>材料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250ml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一次性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瓶中，加入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100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浸泡液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密闭后，翻转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避光静置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14~16h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，并配置空白对照样。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取样时再次翻转</w:t>
            </w: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次后，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倒出储备液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并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用快速滤纸过滤，测试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PH/TDS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变化量。滤液再次用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0.45um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针式过滤器过滤，约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10ml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滤液加入一滴硝酸，送检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ICP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测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重金属含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量。空白对照需同步测试。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eastAsia="宋体" w:cs="Times New Roman" w:hint="eastAsia" w:ascii="Times New Roman" w:hAnsi="Times New Roman"/>
                <w:sz w:val="22"/>
                <w:szCs w:val="22"/>
              </w:rPr>
              <w:t>ICP</w:t>
            </w:r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铝≤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铁≤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60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锰≤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铜≤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锌≤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200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砷≤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镉≤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0.5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铅≤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1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银≤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总铬≤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5 ppb</w:t>
            </w:r>
          </w:p>
          <w:p>
            <w:pPr>
              <w:pStyle w:val="Style19"/>
              <w:widowControl w:val="false"/>
              <w:overflowPunct w:val="true"/>
              <w:autoSpaceDE w:val="true"/>
              <w:spacing w:lineRule="auto" w:line="240"/>
              <w:ind w:firstLineChars="0" w:firstLine="0" w:endChars="0" w:end="0"/>
              <w:jc w:val="center"/>
              <w:textAlignment w:val="auto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镍≤</w:t>
            </w:r>
            <w:r>
              <w:rPr>
                <w:rFonts w:eastAsia="宋体" w:cs="Times New Roman" w:ascii="Times New Roman" w:hAnsi="Times New Roman"/>
                <w:sz w:val="22"/>
                <w:szCs w:val="22"/>
              </w:rPr>
              <w:t>2 ppb</w:t>
            </w:r>
          </w:p>
        </w:tc>
      </w:tr>
    </w:tbl>
    <w:p>
      <w:pPr>
        <w:pStyle w:val="Style19"/>
        <w:widowControl w:val="false"/>
        <w:overflowPunct w:val="true"/>
        <w:autoSpaceDE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083" w:right="969" w:gutter="0" w:header="1191" w:top="1247" w:footer="549" w:bottom="605"/>
      <w:pgBorders w:display="allPages" w:offsetFrom="text">
        <w:top w:val="double" w:sz="4" w:space="0" w:color="000000"/>
        <w:left w:val="double" w:sz="4" w:space="0" w:color="000000"/>
        <w:bottom w:val="double" w:sz="4" w:space="0" w:color="000000"/>
        <w:right w:val="double" w:sz="4" w:space="4" w:color="000000"/>
      </w:pgBorders>
      <w:pgNumType w:start="1" w:fmt="decimal"/>
      <w:formProt w:val="false"/>
      <w:titlePg/>
      <w:textDirection w:val="lrTb"/>
      <w:docGrid w:type="default" w:linePitch="27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swiss"/>
    <w:pitch w:val="default"/>
  </w:font>
  <w:font w:name="Bookman Old Style">
    <w:altName w:val="Segoe Print"/>
    <w:charset w:val="00"/>
    <w:family w:val="roman"/>
    <w:pitch w:val="default"/>
  </w:font>
  <w:font w:name="AvantGarde Md BT">
    <w:altName w:val="Trebuchet MS"/>
    <w:charset w:val="00"/>
    <w:family w:val="swiss"/>
    <w:pitch w:val="default"/>
  </w:font>
  <w:font w:name="Arial">
    <w:charset w:val="01"/>
    <w:family w:val="swiss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黑体">
    <w:charset w:val="86"/>
    <w:family w:val="auto"/>
    <w:pitch w:val="default"/>
  </w:font>
  <w:font w:name="华文中宋">
    <w:altName w:val="宋体"/>
    <w:charset w:val="86"/>
    <w:family w:val="auto"/>
    <w:pitch w:val="default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lineRule="auto" w:line="60"/>
      <w:rPr>
        <w:sz w:val="10"/>
      </w:rPr>
    </w:pPr>
    <w:r>
      <w:rPr>
        <w:sz w:val="1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650"/>
      <w:gridCol w:w="1300"/>
      <w:gridCol w:w="1900"/>
    </w:tblGrid>
    <w:tr>
      <w:trPr>
        <w:trHeight w:val="99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sz w:val="36"/>
              <w:szCs w:val="36"/>
            </w:rPr>
          </w:pPr>
          <w:r>
            <w:rPr>
              <w:rFonts w:ascii="宋体" w:hAnsi="宋体" w:cs="宋体" w:hint="eastAsia"/>
              <w:color w:val="000000"/>
              <w:sz w:val="36"/>
              <w:szCs w:val="36"/>
            </w:rPr>
            <w:t>惠州市银嘉环保科技</w:t>
          </w:r>
          <w:r>
            <w:rPr>
              <w:rFonts w:hint="eastAsia"/>
              <w:sz w:val="36"/>
              <w:szCs w:val="36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5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宋体" w:hAnsi="宋体" w:eastAsia="华文中宋;宋体" w:cs="宋体" w:hint="eastAsia"/>
              <w:b/>
              <w:sz w:val="40"/>
              <w:szCs w:val="40"/>
            </w:rPr>
          </w:pPr>
          <w:r>
            <w:rPr>
              <w:rFonts w:eastAsia="华文中宋;宋体" w:hint="eastAsia" w:ascii="华文中宋;宋体" w:hAnsi="华文中宋;宋体"/>
              <w:sz w:val="40"/>
              <w:szCs w:val="22"/>
            </w:rPr>
            <w:t>BK</w:t>
          </w: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系列材料成品检验规范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9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YJ-Q-80</w:t>
          </w:r>
        </w:p>
      </w:tc>
    </w:tr>
    <w:tr>
      <w:trPr>
        <w:trHeight w:val="380" w:hRule="exact"/>
        <w:cantSplit/>
      </w:trPr>
      <w:tc>
        <w:tcPr>
          <w:tcW w:w="65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9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2026-9-22</w:t>
          </w:r>
        </w:p>
      </w:tc>
    </w:tr>
    <w:tr>
      <w:trPr>
        <w:trHeight w:val="380" w:hRule="exact"/>
        <w:cantSplit/>
      </w:trPr>
      <w:tc>
        <w:tcPr>
          <w:tcW w:w="6500" w:type="dxa"/>
          <w:gridSpan w:val="4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both"/>
            <w:rPr>
              <w:rStyle w:val="PageNumber"/>
              <w:rFonts w:ascii="黑体" w:hAnsi="黑体" w:eastAsia="黑体" w:cs="宋体"/>
              <w:sz w:val="22"/>
              <w:szCs w:val="18"/>
            </w:rPr>
          </w:pPr>
          <w:r>
            <w:rPr>
              <w:rStyle w:val="PageNumber"/>
              <w:rFonts w:ascii="黑体" w:hAnsi="黑体" w:cs="宋体" w:hint="eastAsia" w:eastAsia="黑体"/>
              <w:sz w:val="20"/>
              <w:szCs w:val="15"/>
            </w:rPr>
            <w:t>物料编码：</w:t>
          </w:r>
          <w:r>
            <w:rPr>
              <w:rStyle w:val="PageNumber"/>
              <w:rFonts w:eastAsia="黑体" w:cs="宋体" w:hint="eastAsia" w:ascii="黑体" w:hAnsi="黑体"/>
              <w:sz w:val="20"/>
              <w:szCs w:val="15"/>
            </w:rPr>
            <w:t>BK1-D/10</w:t>
          </w:r>
          <w:r>
            <w:rPr>
              <w:rStyle w:val="PageNumber"/>
              <w:rFonts w:ascii="黑体" w:hAnsi="黑体" w:cs="宋体" w:hint="eastAsia" w:eastAsia="黑体"/>
              <w:sz w:val="20"/>
              <w:szCs w:val="15"/>
            </w:rPr>
            <w:t>、</w:t>
          </w:r>
          <w:r>
            <w:rPr>
              <w:rStyle w:val="PageNumber"/>
              <w:rFonts w:eastAsia="黑体" w:cs="宋体" w:hint="eastAsia" w:ascii="黑体" w:hAnsi="黑体"/>
              <w:sz w:val="20"/>
              <w:szCs w:val="15"/>
            </w:rPr>
            <w:t>BK2-D</w:t>
          </w:r>
          <w:r>
            <w:rPr>
              <w:rStyle w:val="PageNumber"/>
              <w:rFonts w:ascii="黑体" w:hAnsi="黑体" w:cs="宋体" w:hint="eastAsia" w:eastAsia="黑体"/>
              <w:sz w:val="20"/>
              <w:szCs w:val="15"/>
            </w:rPr>
            <w:t>、</w:t>
          </w:r>
          <w:r>
            <w:rPr>
              <w:rStyle w:val="PageNumber"/>
              <w:rFonts w:eastAsia="黑体" w:cs="宋体" w:hint="eastAsia" w:ascii="黑体" w:hAnsi="黑体"/>
              <w:sz w:val="20"/>
              <w:szCs w:val="15"/>
            </w:rPr>
            <w:t>BK2-B</w:t>
          </w:r>
        </w:p>
      </w:tc>
      <w:tc>
        <w:tcPr>
          <w:tcW w:w="130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90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 xml:space="preserve">第 </w:t>
          </w:r>
          <w:r>
            <w:rPr>
              <w:rFonts w:ascii="黑体" w:hAnsi="黑体" w:cs="宋体" w:eastAsia="黑体"/>
              <w:sz w:val="24"/>
              <w:szCs w:val="21"/>
            </w:rPr>
            <w:fldChar w:fldCharType="begin"/>
          </w:r>
          <w:r>
            <w:rPr>
              <w:rFonts w:ascii="黑体" w:hAnsi="黑体" w:cs="宋体" w:eastAsia="黑体"/>
              <w:sz w:val="24"/>
              <w:szCs w:val="21"/>
            </w:rPr>
            <w:instrText xml:space="preserve"> PAGE </w:instrText>
          </w:r>
          <w:r>
            <w:rPr>
              <w:rFonts w:ascii="黑体" w:hAnsi="黑体" w:cs="宋体" w:eastAsia="黑体"/>
              <w:sz w:val="24"/>
              <w:szCs w:val="21"/>
            </w:rPr>
            <w:fldChar w:fldCharType="separate"/>
          </w:r>
          <w:r>
            <w:rPr>
              <w:rFonts w:ascii="黑体" w:hAnsi="黑体" w:cs="宋体" w:eastAsia="黑体"/>
              <w:sz w:val="24"/>
              <w:szCs w:val="21"/>
            </w:rPr>
            <w:t>4</w:t>
          </w:r>
          <w:r>
            <w:rPr>
              <w:rFonts w:ascii="黑体" w:hAnsi="黑体" w:cs="宋体" w:eastAsia="黑体"/>
              <w:sz w:val="24"/>
              <w:szCs w:val="21"/>
            </w:rPr>
            <w:fldChar w:fldCharType="end"/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 xml:space="preserve"> 页 共 </w:t>
          </w:r>
          <w:r>
            <w:rPr>
              <w:rFonts w:ascii="黑体" w:hAnsi="黑体" w:cs="宋体" w:eastAsia="黑体"/>
              <w:sz w:val="24"/>
              <w:szCs w:val="21"/>
            </w:rPr>
            <w:fldChar w:fldCharType="begin"/>
          </w:r>
          <w:r>
            <w:rPr>
              <w:rFonts w:ascii="黑体" w:hAnsi="黑体" w:cs="宋体" w:eastAsia="黑体"/>
              <w:sz w:val="24"/>
              <w:szCs w:val="21"/>
            </w:rPr>
            <w:instrText xml:space="preserve"> NUMPAGES \* ARABIC </w:instrText>
          </w:r>
          <w:r>
            <w:rPr>
              <w:rFonts w:ascii="黑体" w:hAnsi="黑体" w:cs="宋体" w:eastAsia="黑体"/>
              <w:sz w:val="24"/>
              <w:szCs w:val="21"/>
            </w:rPr>
            <w:fldChar w:fldCharType="separate"/>
          </w:r>
          <w:r>
            <w:rPr>
              <w:rFonts w:ascii="黑体" w:hAnsi="黑体" w:cs="宋体" w:eastAsia="黑体"/>
              <w:sz w:val="24"/>
              <w:szCs w:val="21"/>
            </w:rPr>
            <w:t>4</w:t>
          </w:r>
          <w:r>
            <w:rPr>
              <w:rFonts w:ascii="黑体" w:hAnsi="黑体" w:cs="宋体" w:eastAsia="黑体"/>
              <w:sz w:val="24"/>
              <w:szCs w:val="21"/>
            </w:rPr>
            <w:fldChar w:fldCharType="end"/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 xml:space="preserve"> 页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A3</w:t>
          </w:r>
        </w:p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/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6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/>
          </w:r>
        </w:p>
      </w:tc>
      <w:tc>
        <w:tcPr>
          <w:tcW w:w="190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/>
          </w:r>
        </w:p>
      </w:tc>
    </w:tr>
  </w:tbl>
  <w:p>
    <w:pPr>
      <w:pStyle w:val="Header"/>
      <w:snapToGrid w:val="false"/>
      <w:spacing w:lineRule="auto" w:line="60"/>
      <w:rPr>
        <w:sz w:val="10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16"/>
      <w:gridCol w:w="1617"/>
      <w:gridCol w:w="1617"/>
      <w:gridCol w:w="1750"/>
      <w:gridCol w:w="1300"/>
      <w:gridCol w:w="1800"/>
    </w:tblGrid>
    <w:tr>
      <w:trPr>
        <w:trHeight w:val="1130" w:hRule="exact"/>
      </w:trPr>
      <w:tc>
        <w:tcPr>
          <w:tcW w:w="9700" w:type="dxa"/>
          <w:gridSpan w:val="6"/>
          <w:tcBorders>
            <w:bottom w:val="single" w:sz="4" w:space="0" w:color="000000"/>
          </w:tcBorders>
          <w:vAlign w:val="center"/>
        </w:tcPr>
        <w:p>
          <w:pPr>
            <w:pStyle w:val="Normal"/>
            <w:tabs>
              <w:tab w:val="left" w:pos="720" w:leader="none"/>
              <w:tab w:val="left" w:pos="1080" w:leader="none"/>
            </w:tabs>
            <w:ind w:start="720" w:end="0"/>
            <w:jc w:val="center"/>
            <w:rPr>
              <w:rFonts w:hint="eastAsia"/>
              <w:b/>
              <w:bCs/>
              <w:sz w:val="48"/>
              <w:szCs w:val="48"/>
            </w:rPr>
          </w:pPr>
          <w:r>
            <w:rPr>
              <w:rFonts w:ascii="宋体" w:hAnsi="宋体" w:cs="宋体" w:hint="eastAsia"/>
              <w:b/>
              <w:bCs/>
              <w:color w:val="000000"/>
              <w:sz w:val="48"/>
              <w:szCs w:val="48"/>
            </w:rPr>
            <w:t>惠州市银嘉环保科技</w:t>
          </w:r>
          <w:r>
            <w:rPr>
              <w:rFonts w:hint="eastAsia"/>
              <w:b/>
              <w:bCs/>
              <w:sz w:val="48"/>
              <w:szCs w:val="48"/>
            </w:rPr>
            <w:t>有限公司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restart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exact" w:line="400"/>
            <w:ind w:firstLineChars="0" w:firstLine="0" w:startChars="0" w:start="0" w:endChars="201"/>
            <w:jc w:val="center"/>
            <w:rPr>
              <w:rFonts w:ascii="仿宋" w:hAnsi="仿宋" w:eastAsia="华文中宋;宋体" w:cs="仿宋" w:hint="eastAsia"/>
              <w:bCs/>
              <w:sz w:val="40"/>
              <w:szCs w:val="40"/>
            </w:rPr>
          </w:pPr>
          <w:r>
            <w:rPr>
              <w:rFonts w:eastAsia="华文中宋;宋体" w:hint="eastAsia" w:ascii="华文中宋;宋体" w:hAnsi="华文中宋;宋体"/>
              <w:sz w:val="40"/>
              <w:szCs w:val="22"/>
            </w:rPr>
            <w:t>BK</w:t>
          </w:r>
          <w:r>
            <w:rPr>
              <w:rFonts w:ascii="华文中宋;宋体" w:hAnsi="华文中宋;宋体" w:hint="eastAsia" w:eastAsia="华文中宋;宋体"/>
              <w:sz w:val="40"/>
              <w:szCs w:val="22"/>
            </w:rPr>
            <w:t>系列材料成品检验规范</w:t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 w:hint="eastAsia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文件编号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eastAsia="黑体" w:cs="Times New Roman"/>
              <w:sz w:val="24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  <w:t>YJ-Q-80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vMerge w:val="continue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hint="eastAsia"/>
            </w:rPr>
          </w:pPr>
          <w:r>
            <w:rPr>
              <w:rFonts w:eastAsia="黑体" w:cs="Times New Roman" w:hint="eastAsia" w:ascii="Times New Roman" w:hAnsi="Times New Roman"/>
              <w:sz w:val="24"/>
            </w:rPr>
          </w:r>
        </w:p>
      </w:tc>
      <w:tc>
        <w:tcPr>
          <w:tcW w:w="13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ascii="黑体" w:hAnsi="黑体" w:hint="eastAsia" w:eastAsia="黑体"/>
              <w:sz w:val="24"/>
            </w:rPr>
            <w:t>发行日期</w:t>
          </w:r>
        </w:p>
      </w:tc>
      <w:tc>
        <w:tcPr>
          <w:tcW w:w="18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黑体" w:hAnsi="黑体" w:eastAsia="黑体"/>
              <w:sz w:val="24"/>
            </w:rPr>
          </w:pPr>
          <w:r>
            <w:rPr>
              <w:rFonts w:eastAsia="黑体" w:hint="eastAsia" w:ascii="黑体" w:hAnsi="黑体"/>
              <w:sz w:val="24"/>
            </w:rPr>
            <w:t>2026-9-22</w:t>
          </w:r>
        </w:p>
      </w:tc>
    </w:tr>
    <w:tr>
      <w:trPr>
        <w:trHeight w:val="380" w:hRule="exact"/>
        <w:cantSplit/>
      </w:trPr>
      <w:tc>
        <w:tcPr>
          <w:tcW w:w="6600" w:type="dxa"/>
          <w:gridSpan w:val="4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黑体" w:hAnsi="黑体" w:eastAsia="黑体" w:cs="宋体" w:hint="eastAsia"/>
              <w:sz w:val="22"/>
              <w:szCs w:val="18"/>
            </w:rPr>
          </w:pPr>
          <w:r>
            <w:rPr>
              <w:rStyle w:val="PageNumber"/>
              <w:rFonts w:ascii="黑体" w:hAnsi="黑体" w:cs="宋体" w:hint="eastAsia" w:eastAsia="黑体"/>
              <w:sz w:val="20"/>
              <w:szCs w:val="15"/>
            </w:rPr>
            <w:t>物料编码：</w:t>
          </w:r>
          <w:r>
            <w:rPr>
              <w:rStyle w:val="PageNumber"/>
              <w:rFonts w:eastAsia="黑体" w:cs="宋体" w:hint="eastAsia" w:ascii="黑体" w:hAnsi="黑体"/>
              <w:sz w:val="20"/>
              <w:szCs w:val="15"/>
            </w:rPr>
            <w:t>BK1-D/10</w:t>
          </w:r>
          <w:r>
            <w:rPr>
              <w:rStyle w:val="PageNumber"/>
              <w:rFonts w:ascii="黑体" w:hAnsi="黑体" w:cs="宋体" w:hint="eastAsia" w:eastAsia="黑体"/>
              <w:sz w:val="20"/>
              <w:szCs w:val="15"/>
            </w:rPr>
            <w:t>、</w:t>
          </w:r>
          <w:r>
            <w:rPr>
              <w:rStyle w:val="PageNumber"/>
              <w:rFonts w:eastAsia="黑体" w:cs="宋体" w:hint="eastAsia" w:ascii="黑体" w:hAnsi="黑体"/>
              <w:sz w:val="20"/>
              <w:szCs w:val="15"/>
            </w:rPr>
            <w:t>BK2-D</w:t>
          </w:r>
          <w:r>
            <w:rPr>
              <w:rStyle w:val="PageNumber"/>
              <w:rFonts w:ascii="黑体" w:hAnsi="黑体" w:cs="宋体" w:hint="eastAsia" w:eastAsia="黑体"/>
              <w:sz w:val="20"/>
              <w:szCs w:val="15"/>
            </w:rPr>
            <w:t>、</w:t>
          </w:r>
          <w:r>
            <w:rPr>
              <w:rStyle w:val="PageNumber"/>
              <w:rFonts w:eastAsia="黑体" w:cs="宋体" w:hint="eastAsia" w:ascii="黑体" w:hAnsi="黑体"/>
              <w:sz w:val="20"/>
              <w:szCs w:val="15"/>
            </w:rPr>
            <w:t>BK2-B</w:t>
          </w:r>
        </w:p>
      </w:tc>
      <w:tc>
        <w:tcPr>
          <w:tcW w:w="130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页  次</w:t>
          </w:r>
        </w:p>
      </w:tc>
      <w:tc>
        <w:tcPr>
          <w:tcW w:w="180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第</w:t>
          </w:r>
          <w:r>
            <w:rPr>
              <w:rStyle w:val="PageNumber"/>
              <w:rFonts w:ascii="黑体" w:hAnsi="黑体" w:eastAsia="黑体"/>
              <w:sz w:val="24"/>
            </w:rPr>
            <w:t xml:space="preserve"> </w:t>
          </w:r>
          <w:r>
            <w:rPr>
              <w:rStyle w:val="PageNumber"/>
              <w:rFonts w:eastAsia="黑体" w:ascii="黑体" w:hAnsi="黑体"/>
              <w:sz w:val="24"/>
            </w:rPr>
            <w:t xml:space="preserve">1 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共</w:t>
          </w:r>
          <w:r>
            <w:rPr>
              <w:rStyle w:val="PageNumber"/>
              <w:rFonts w:eastAsia="黑体" w:cs="宋体" w:hint="eastAsia" w:ascii="黑体" w:hAnsi="黑体"/>
              <w:sz w:val="24"/>
              <w:szCs w:val="21"/>
            </w:rPr>
            <w:t>3</w:t>
          </w:r>
          <w:r>
            <w:rPr>
              <w:rStyle w:val="PageNumber"/>
              <w:rFonts w:ascii="黑体" w:hAnsi="黑体" w:cs="宋体" w:hint="eastAsia" w:eastAsia="黑体"/>
              <w:sz w:val="24"/>
              <w:szCs w:val="21"/>
            </w:rPr>
            <w:t>页</w:t>
          </w:r>
        </w:p>
      </w:tc>
    </w:tr>
    <w:tr>
      <w:trPr>
        <w:trHeight w:val="380" w:hRule="exact"/>
        <w:cantSplit/>
      </w:trPr>
      <w:tc>
        <w:tcPr>
          <w:tcW w:w="1616" w:type="dxa"/>
          <w:tcBorders>
            <w:top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版本</w:t>
          </w:r>
          <w:r>
            <w:rPr>
              <w:rStyle w:val="PageNumber"/>
              <w:rFonts w:eastAsia="黑体" w:cs="宋体" w:hint="eastAsia" w:ascii="黑体" w:hAnsi="黑体"/>
              <w:sz w:val="24"/>
            </w:rPr>
            <w:t>/</w:t>
          </w:r>
          <w:r>
            <w:rPr>
              <w:rStyle w:val="PageNumber"/>
              <w:rFonts w:ascii="黑体" w:hAnsi="黑体" w:cs="宋体" w:hint="eastAsia" w:eastAsia="黑体"/>
              <w:sz w:val="24"/>
            </w:rPr>
            <w:t>版次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eastAsia="黑体" w:cs="宋体" w:hint="eastAsia" w:ascii="黑体" w:hAnsi="黑体"/>
              <w:sz w:val="24"/>
            </w:rPr>
            <w:t>A3</w:t>
          </w:r>
        </w:p>
      </w:tc>
      <w:tc>
        <w:tcPr>
          <w:tcW w:w="1617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管控状态</w:t>
          </w:r>
        </w:p>
      </w:tc>
      <w:tc>
        <w:tcPr>
          <w:tcW w:w="1750" w:type="dxa"/>
          <w:tcBorders>
            <w:top w:val="single" w:sz="4" w:space="0" w:color="000000"/>
            <w:start w:val="single" w:sz="4" w:space="0" w:color="000000"/>
            <w:bottom w:val="doub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Style w:val="PageNumber"/>
              <w:rFonts w:ascii="黑体" w:hAnsi="黑体" w:eastAsia="黑体" w:cs="宋体"/>
              <w:sz w:val="24"/>
            </w:rPr>
          </w:pPr>
          <w:r>
            <w:rPr>
              <w:rStyle w:val="PageNumber"/>
              <w:rFonts w:ascii="黑体" w:hAnsi="黑体" w:cs="宋体" w:hint="eastAsia" w:eastAsia="黑体"/>
              <w:sz w:val="24"/>
            </w:rPr>
            <w:t>受  控</w:t>
          </w:r>
        </w:p>
      </w:tc>
      <w:tc>
        <w:tcPr>
          <w:tcW w:w="130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/>
          </w:r>
        </w:p>
      </w:tc>
      <w:tc>
        <w:tcPr>
          <w:tcW w:w="180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Style w:val="PageNumber"/>
              <w:rFonts w:ascii="黑体" w:hAnsi="黑体" w:eastAsia="黑体" w:cs="宋体" w:hint="eastAsia"/>
              <w:sz w:val="24"/>
            </w:rPr>
          </w:pPr>
          <w:r>
            <w:rPr/>
          </w:r>
        </w:p>
      </w:tc>
    </w:tr>
  </w:tbl>
  <w:p>
    <w:pPr>
      <w:pStyle w:val="Header"/>
      <w:spacing w:lineRule="auto" w:line="60"/>
      <w:rPr>
        <w:rFonts w:hint="eastAsia"/>
        <w:sz w:val="10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2MzY0sTQxNTAxtDSzNDdT0lEKTi0uzszPAykwqgUAhmYffywAAAA="/>
    <w:docVar w:name="commondata" w:val="eyJoZGlkIjoiOGUwMGVmYTFkMjhkOTYwZmY4MmFhMmQ2YThlNGY5Yz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overflowPunct w:val="false"/>
      <w:autoSpaceDE w:val="false"/>
      <w:bidi w:val="0"/>
      <w:textAlignment w:val="baseline"/>
    </w:pPr>
    <w:rPr>
      <w:rFonts w:ascii="Arial" w:hAnsi="Arial" w:eastAsia="宋体" w:cs="Arial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0"/>
    </w:pPr>
    <w:rPr>
      <w:rFonts w:ascii="Bookman Old Style;Segoe Print" w:hAnsi="Bookman Old Style;Segoe Print" w:cs="Bookman Old Style;Segoe Print"/>
      <w:b/>
      <w:sz w:val="36"/>
    </w:rPr>
  </w:style>
  <w:style w:type="paragraph" w:styleId="Heading2">
    <w:name w:val="heading 2"/>
    <w:basedOn w:val="Normal"/>
    <w:next w:val="Style13"/>
    <w:pPr>
      <w:keepNext w:val="true"/>
      <w:numPr>
        <w:ilvl w:val="1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1"/>
    </w:pPr>
    <w:rPr>
      <w:rFonts w:ascii="Bookman Old Style;Segoe Print" w:hAnsi="Bookman Old Style;Segoe Print" w:cs="Bookman Old Style;Segoe Print"/>
      <w:b/>
      <w:sz w:val="48"/>
    </w:rPr>
  </w:style>
  <w:style w:type="paragraph" w:styleId="Heading3">
    <w:name w:val="heading 3"/>
    <w:basedOn w:val="Normal"/>
    <w:next w:val="Style13"/>
    <w:pPr>
      <w:keepNext w:val="true"/>
      <w:numPr>
        <w:ilvl w:val="2"/>
        <w:numId w:val="1"/>
      </w:numPr>
      <w:suppressLineNumbers/>
      <w:suppressAutoHyphens w:val="true"/>
      <w:overflowPunct w:val="true"/>
      <w:autoSpaceDE w:val="true"/>
      <w:spacing w:lineRule="auto" w:line="360"/>
      <w:jc w:val="center"/>
      <w:outlineLvl w:val="2"/>
    </w:pPr>
    <w:rPr>
      <w:rFonts w:ascii="AvantGarde Md BT;Trebuchet MS" w:hAnsi="AvantGarde Md BT;Trebuchet MS" w:cs="AvantGarde Md BT;Trebuchet MS"/>
      <w:b/>
      <w:sz w:val="44"/>
    </w:rPr>
  </w:style>
  <w:style w:type="character" w:styleId="Style11">
    <w:name w:val="默认段落字体"/>
    <w:rPr/>
  </w:style>
  <w:style w:type="character" w:styleId="PageNumber">
    <w:name w:val="page number"/>
    <w:rPr/>
  </w:style>
  <w:style w:type="character" w:styleId="Emphasis">
    <w:name w:val="Emphasis"/>
    <w:rPr>
      <w:rFonts w:ascii="Arial" w:hAnsi="Arial" w:cs="Arial"/>
      <w:b/>
      <w:spacing w:val="-10"/>
      <w:sz w:val="18"/>
    </w:rPr>
  </w:style>
  <w:style w:type="character" w:styleId="Style12">
    <w:name w:val="消息标题号"/>
    <w:rPr>
      <w:rFonts w:ascii="Arial" w:hAnsi="Arial" w:eastAsia="楷体_GB2312;楷体" w:cs="Arial"/>
      <w:b/>
      <w:spacing w:val="-4"/>
      <w:sz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微软雅黑" w:cs="Lucida Sans"/>
      <w:sz w:val="28"/>
      <w:szCs w:val="28"/>
    </w:rPr>
  </w:style>
  <w:style w:type="paragraph" w:styleId="BodyText">
    <w:name w:val="Body Text"/>
    <w:basedOn w:val="Normal"/>
    <w:pPr>
      <w:overflowPunct w:val="true"/>
      <w:autoSpaceDE w:val="true"/>
      <w:spacing w:lineRule="auto" w:line="533"/>
      <w:ind w:hanging="0" w:start="840" w:end="-120"/>
      <w:textAlignment w:val="auto"/>
    </w:pPr>
    <w:rPr>
      <w:rFonts w:ascii="Times New Roman" w:hAnsi="Times New Roman" w:cs="Times New Roma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3">
    <w:name w:val="正文缩进"/>
    <w:basedOn w:val="Normal"/>
    <w:pPr>
      <w:ind w:firstLine="420" w:start="0" w:end="0"/>
    </w:pPr>
    <w:rPr/>
  </w:style>
  <w:style w:type="paragraph" w:styleId="3">
    <w:name w:val="正文文本 3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18"/>
    </w:rPr>
  </w:style>
  <w:style w:type="paragraph" w:styleId="BodyTextIndent">
    <w:name w:val="Body Text Indent"/>
    <w:basedOn w:val="Normal"/>
    <w:pPr>
      <w:suppressLineNumbers/>
      <w:suppressAutoHyphens w:val="true"/>
      <w:overflowPunct w:val="true"/>
      <w:autoSpaceDE w:val="true"/>
      <w:spacing w:lineRule="auto" w:line="360"/>
      <w:ind w:firstLine="567" w:start="0" w:end="0"/>
      <w:jc w:val="both"/>
    </w:pPr>
    <w:rPr>
      <w:rFonts w:ascii="宋体" w:hAnsi="宋体"/>
      <w:sz w:val="24"/>
    </w:rPr>
  </w:style>
  <w:style w:type="paragraph" w:styleId="Style14">
    <w:name w:val="文本块"/>
    <w:basedOn w:val="Normal"/>
    <w:pPr>
      <w:spacing w:lineRule="auto" w:line="360"/>
      <w:ind w:firstLine="482" w:start="170" w:end="170"/>
    </w:pPr>
    <w:rPr>
      <w:rFonts w:ascii="楷体_GB2312;楷体" w:hAnsi="楷体_GB2312;楷体"/>
      <w:color w:val="000000"/>
      <w:sz w:val="21"/>
    </w:rPr>
  </w:style>
  <w:style w:type="paragraph" w:styleId="2">
    <w:name w:val="正文文本缩进 2"/>
    <w:basedOn w:val="Normal"/>
    <w:pPr>
      <w:suppressLineNumbers/>
      <w:suppressAutoHyphens w:val="true"/>
      <w:overflowPunct w:val="true"/>
      <w:autoSpaceDE w:val="true"/>
      <w:spacing w:lineRule="auto" w:line="360"/>
      <w:ind w:firstLine="284" w:start="0" w:end="0"/>
      <w:jc w:val="both"/>
    </w:pPr>
    <w:rPr>
      <w:rFonts w:ascii="宋体" w:hAnsi="宋体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31">
    <w:name w:val="正文文本缩进 3"/>
    <w:basedOn w:val="Normal"/>
    <w:pPr>
      <w:ind w:firstLineChars="200" w:startChars="120" w:endChars="0" w:end="0"/>
    </w:pPr>
    <w:rPr>
      <w:rFonts w:ascii="黑体" w:hAnsi="黑体" w:eastAsia="黑体"/>
      <w:sz w:val="24"/>
    </w:rPr>
  </w:style>
  <w:style w:type="paragraph" w:styleId="21">
    <w:name w:val="正文文本 2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sz w:val="21"/>
    </w:rPr>
  </w:style>
  <w:style w:type="paragraph" w:styleId="Style15">
    <w:name w:val="ÕýÎÄ"/>
    <w:pPr>
      <w:widowControl w:val="false"/>
      <w:overflowPunct w:val="false"/>
      <w:autoSpaceDE w:val="false"/>
      <w:bidi w:val="0"/>
      <w:jc w:val="both"/>
      <w:textAlignment w:val="baseline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Style16">
    <w:name w:val="传真标题"/>
    <w:basedOn w:val="Normal"/>
    <w:pPr>
      <w:ind w:firstLineChars="190" w:startChars="0" w:start="0" w:endChars="0" w:end="0"/>
    </w:pPr>
    <w:rPr>
      <w:sz w:val="21"/>
    </w:rPr>
  </w:style>
  <w:style w:type="paragraph" w:styleId="Style17">
    <w:name w:val="文档标签"/>
    <w:next w:val="Normal"/>
    <w:pPr>
      <w:widowControl/>
      <w:bidi w:val="0"/>
      <w:spacing w:lineRule="exact" w:line="600" w:before="100" w:after="720"/>
      <w:ind w:hanging="0" w:start="840" w:end="0"/>
    </w:pPr>
    <w:rPr>
      <w:rFonts w:ascii="Times New Roman" w:hAnsi="Times New Roman" w:eastAsia="宋体" w:cs="Times New Roman"/>
      <w:color w:val="auto"/>
      <w:spacing w:val="-34"/>
      <w:sz w:val="60"/>
      <w:szCs w:val="20"/>
      <w:lang w:bidi="ar-SA" w:val="en-US" w:eastAsia="zh-CN"/>
    </w:rPr>
  </w:style>
  <w:style w:type="paragraph" w:styleId="Style18">
    <w:name w:val="徽标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</w:rPr>
  </w:style>
  <w:style w:type="paragraph" w:styleId="Default">
    <w:name w:val="Default"/>
    <w:pPr>
      <w:widowControl/>
      <w:suppressAutoHyphens w:val="true"/>
      <w:autoSpaceDE w:val="false"/>
      <w:bidi w:val="0"/>
    </w:pPr>
    <w:rPr>
      <w:rFonts w:ascii="宋体" w:hAnsi="宋体" w:eastAsia="宋体" w:cs="宋体"/>
      <w:color w:val="000000"/>
      <w:sz w:val="24"/>
      <w:szCs w:val="24"/>
      <w:lang w:eastAsia="ar-SA" w:bidi="ar-SA" w:val="en-US"/>
    </w:rPr>
  </w:style>
  <w:style w:type="paragraph" w:styleId="1">
    <w:name w:val="复选框1"/>
    <w:basedOn w:val="Normal"/>
    <w:pPr>
      <w:overflowPunct w:val="true"/>
      <w:autoSpaceDE w:val="true"/>
      <w:spacing w:before="360" w:after="360"/>
      <w:textAlignment w:val="auto"/>
    </w:pPr>
    <w:rPr>
      <w:rFonts w:ascii="Times New Roman" w:hAnsi="Times New Roman" w:cs="Times New Roman"/>
    </w:rPr>
  </w:style>
  <w:style w:type="paragraph" w:styleId="22">
    <w:name w:val="ÕýÎÄÎÄ×Ö 2"/>
    <w:basedOn w:val="Style15"/>
    <w:pPr>
      <w:jc w:val="center"/>
    </w:pPr>
    <w:rPr/>
  </w:style>
  <w:style w:type="paragraph" w:styleId="Style19">
    <w:name w:val="列表段落"/>
    <w:basedOn w:val="Normal"/>
    <w:pPr>
      <w:ind w:firstLineChars="200" w:startChars="0" w:start="0" w:endChars="0" w:end="0"/>
    </w:pPr>
    <w:rPr/>
  </w:style>
  <w:style w:type="paragraph" w:styleId="Style20">
    <w:name w:val="修订"/>
    <w:pPr>
      <w:widowControl/>
      <w:bidi w:val="0"/>
    </w:pPr>
    <w:rPr>
      <w:rFonts w:ascii="Arial" w:hAnsi="Arial" w:eastAsia="宋体" w:cs="Arial"/>
      <w:color w:val="auto"/>
      <w:sz w:val="20"/>
      <w:szCs w:val="20"/>
      <w:lang w:bidi="ar-SA" w:val="en-US" w:eastAsia="zh-CN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2024-06-18T09:58:00Z</dcterms:created>
  <dc:creator>洪忠华</dc:creator>
  <dc:description/>
  <dc:language>en-US</dc:language>
  <cp:lastModifiedBy>五百分</cp:lastModifiedBy>
  <cp:lastPrinted>2026-09-27T16:49:00Z</cp:lastPrinted>
  <dcterms:modified xsi:type="dcterms:W3CDTF">2026-09-27T16:50:48Z</dcterms:modified>
  <cp:revision>10</cp:revision>
  <dc:subject/>
  <dc:title>内部质量审核管理程序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7508aee03abf75b128b6d3e0d58bbe646da56afe99f418044fc94c92e7e2be0f</vt:lpwstr>
  </property>
  <property fmtid="{D5CDD505-2E9C-101B-9397-08002B2CF9AE}" pid="3" name="ICV">
    <vt:lpwstr>19DD45947C634128BA13446BFA63FED2_13</vt:lpwstr>
  </property>
  <property fmtid="{D5CDD505-2E9C-101B-9397-08002B2CF9AE}" pid="4" name="KSOProductBuildVer">
    <vt:lpwstr>2052-12.1.0.28505</vt:lpwstr>
  </property>
  <property fmtid="{D5CDD505-2E9C-101B-9397-08002B2CF9AE}" pid="5" name="KSOTemplateDocerSaveRecord">
    <vt:lpwstr>eyJoZGlkIjoiMDg0MDMxYTIyZjNhYTQ1NTI0Y2NkNWU3MjVhNGM4ZGMiLCJ1c2VySWQiOiI1MzU1NDUyOTQifQ==</vt:lpwstr>
  </property>
</Properties>
</file>