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6D4F" w14:textId="77777777" w:rsidR="001B0F20" w:rsidRPr="001B0F20" w:rsidRDefault="001B0F20" w:rsidP="001B0F20">
      <w:pPr>
        <w:bidi/>
        <w:rPr>
          <w:rFonts w:ascii="Simplified Arabic" w:hAnsi="Simplified Arabic" w:cs="Simplified Arabic"/>
          <w:b/>
          <w:bCs/>
          <w:sz w:val="24"/>
          <w:szCs w:val="24"/>
        </w:rPr>
      </w:pPr>
    </w:p>
    <w:p w14:paraId="6B6E813D" w14:textId="3E2CBC51" w:rsidR="001B0F20" w:rsidRPr="001B0F20" w:rsidRDefault="001B0F20" w:rsidP="001B0F20">
      <w:pPr>
        <w:bidi/>
        <w:rPr>
          <w:rFonts w:ascii="Simplified Arabic" w:hAnsi="Simplified Arabic" w:cs="Simplified Arabic"/>
          <w:sz w:val="28"/>
          <w:szCs w:val="28"/>
        </w:rPr>
      </w:pPr>
      <w:r w:rsidRPr="001B0F20">
        <w:rPr>
          <w:rFonts w:ascii="Simplified Arabic" w:hAnsi="Simplified Arabic" w:cs="Simplified Arabic"/>
          <w:sz w:val="28"/>
          <w:szCs w:val="28"/>
          <w:rtl/>
          <w:lang w:bidi="ar"/>
        </w:rPr>
        <w:t>الاقتصاد العماني يُحافظ على زخمه المتزايد خلال عام 2023</w:t>
      </w:r>
    </w:p>
    <w:p w14:paraId="0960EC29" w14:textId="77777777" w:rsidR="001B0F20" w:rsidRPr="001B0F20" w:rsidRDefault="001B0F20" w:rsidP="001B0F20">
      <w:pPr>
        <w:bidi/>
        <w:rPr>
          <w:rFonts w:ascii="Simplified Arabic" w:hAnsi="Simplified Arabic" w:cs="Simplified Arabic"/>
          <w:b/>
          <w:bCs/>
          <w:sz w:val="24"/>
          <w:szCs w:val="24"/>
        </w:rPr>
      </w:pPr>
      <w:r w:rsidRPr="001B0F20">
        <w:rPr>
          <w:rFonts w:ascii="Simplified Arabic" w:hAnsi="Simplified Arabic" w:cs="Simplified Arabic"/>
          <w:b/>
          <w:bCs/>
          <w:sz w:val="24"/>
          <w:szCs w:val="24"/>
          <w:rtl/>
          <w:lang w:bidi="ar"/>
        </w:rPr>
        <w:t xml:space="preserve"> </w:t>
      </w:r>
    </w:p>
    <w:p w14:paraId="6650A30E" w14:textId="554157E0" w:rsidR="001B0F20" w:rsidRPr="001B0F20" w:rsidRDefault="001B0F20" w:rsidP="001B0F20">
      <w:pPr>
        <w:bidi/>
        <w:rPr>
          <w:rFonts w:ascii="Simplified Arabic" w:hAnsi="Simplified Arabic" w:cs="Simplified Arabic"/>
          <w:sz w:val="24"/>
          <w:szCs w:val="24"/>
        </w:rPr>
      </w:pPr>
      <w:r w:rsidRPr="001B0F20">
        <w:rPr>
          <w:rFonts w:ascii="Simplified Arabic" w:hAnsi="Simplified Arabic" w:cs="Simplified Arabic"/>
          <w:sz w:val="24"/>
          <w:szCs w:val="24"/>
          <w:rtl/>
          <w:lang w:bidi="ar"/>
        </w:rPr>
        <w:t xml:space="preserve">يمضي الاقتصاد العُماني قُدماً على مسار التعافي من تداعيات أزمة كوفيد-19، مدفوعاً بزيادة إنتاج قطاع الهيدروكربونات وتحقيق الانضباط المالي وإقرار إصلاحات محفزة للنمو. </w:t>
      </w:r>
      <w:r w:rsidRPr="001B0F20">
        <w:rPr>
          <w:rFonts w:ascii="Simplified Arabic" w:hAnsi="Simplified Arabic" w:cs="Simplified Arabic"/>
          <w:sz w:val="24"/>
          <w:szCs w:val="24"/>
        </w:rPr>
        <w:br/>
      </w:r>
      <w:r w:rsidRPr="001B0F20">
        <w:rPr>
          <w:rFonts w:ascii="Simplified Arabic" w:hAnsi="Simplified Arabic" w:cs="Simplified Arabic"/>
          <w:sz w:val="24"/>
          <w:szCs w:val="24"/>
        </w:rPr>
        <w:br/>
      </w:r>
      <w:r w:rsidRPr="001B0F20">
        <w:rPr>
          <w:rFonts w:ascii="Simplified Arabic" w:hAnsi="Simplified Arabic" w:cs="Simplified Arabic"/>
          <w:sz w:val="24"/>
          <w:szCs w:val="24"/>
          <w:rtl/>
          <w:lang w:bidi="ar"/>
        </w:rPr>
        <w:t>وأشارت آخر التوقعات الصادرة عن وزارة المالية العُمانية إلى نمو اقتصاد السلطنة بواقع 5.5% خلال العام الجاري على خلفية ارتفاع مستويات إنتاج النفط والغاز.</w:t>
      </w:r>
    </w:p>
    <w:p w14:paraId="3E8C38D6" w14:textId="77777777" w:rsidR="001B0F20" w:rsidRPr="001B0F20" w:rsidRDefault="001B0F20" w:rsidP="001B0F20">
      <w:pPr>
        <w:bidi/>
        <w:rPr>
          <w:rFonts w:ascii="Simplified Arabic" w:hAnsi="Simplified Arabic" w:cs="Simplified Arabic"/>
          <w:sz w:val="24"/>
          <w:szCs w:val="24"/>
        </w:rPr>
      </w:pPr>
      <w:r w:rsidRPr="001B0F20">
        <w:rPr>
          <w:rFonts w:ascii="Simplified Arabic" w:hAnsi="Simplified Arabic" w:cs="Simplified Arabic"/>
          <w:sz w:val="24"/>
          <w:szCs w:val="24"/>
          <w:rtl/>
          <w:lang w:bidi="ar"/>
        </w:rPr>
        <w:t>وسيتجاوز أداء السلطنة في عام 2023 النمو اللافت الذي حققته في العام الماضي بواقع 5%، بفضل ارتفاع أسعار السلع الأساسية والإصلاحات المحلية والجهود التي تبذلها السلطات لدعم الاقتصاد. وأظهرت التقديرات الحكومية الأولية ارتفاع مساهمة قطاع الهيدروكربونات في الناتج المحلي الإجمالي بنسبة 9.5% مقابل 2.6% للقطاعات غير النفطية.</w:t>
      </w:r>
      <w:r w:rsidRPr="001B0F20">
        <w:rPr>
          <w:rFonts w:ascii="Simplified Arabic" w:hAnsi="Simplified Arabic" w:cs="Simplified Arabic"/>
          <w:sz w:val="24"/>
          <w:szCs w:val="24"/>
        </w:rPr>
        <w:br/>
      </w:r>
      <w:r w:rsidRPr="001B0F20">
        <w:rPr>
          <w:rFonts w:ascii="Simplified Arabic" w:hAnsi="Simplified Arabic" w:cs="Simplified Arabic"/>
          <w:sz w:val="24"/>
          <w:szCs w:val="24"/>
        </w:rPr>
        <w:br/>
      </w:r>
      <w:r w:rsidRPr="001B0F20">
        <w:rPr>
          <w:rFonts w:ascii="Simplified Arabic" w:hAnsi="Simplified Arabic" w:cs="Simplified Arabic"/>
          <w:sz w:val="24"/>
          <w:szCs w:val="24"/>
          <w:rtl/>
          <w:lang w:bidi="ar"/>
        </w:rPr>
        <w:t xml:space="preserve">وتوقعت </w:t>
      </w:r>
      <w:hyperlink r:id="rId4" w:history="1">
        <w:r w:rsidRPr="001B0F20">
          <w:rPr>
            <w:rStyle w:val="Hyperlink"/>
            <w:rFonts w:ascii="Simplified Arabic" w:hAnsi="Simplified Arabic" w:cs="Simplified Arabic"/>
            <w:sz w:val="24"/>
            <w:szCs w:val="24"/>
            <w:rtl/>
            <w:lang w:bidi="ar"/>
          </w:rPr>
          <w:t>وزارة المالية</w:t>
        </w:r>
      </w:hyperlink>
      <w:r w:rsidRPr="001B0F20">
        <w:rPr>
          <w:rFonts w:ascii="Simplified Arabic" w:hAnsi="Simplified Arabic" w:cs="Simplified Arabic"/>
          <w:sz w:val="24"/>
          <w:szCs w:val="24"/>
          <w:rtl/>
          <w:lang w:bidi="ar"/>
        </w:rPr>
        <w:t xml:space="preserve"> وصول هذه النسب إلى 10.1% في قطاع الهيدروكربونات و2.9% للقطاعات غير النفطية خلال العام الجاري.</w:t>
      </w:r>
    </w:p>
    <w:p w14:paraId="246D4109" w14:textId="77777777" w:rsidR="001B0F20" w:rsidRPr="001B0F20" w:rsidRDefault="001B0F20" w:rsidP="001B0F20">
      <w:pPr>
        <w:bidi/>
        <w:rPr>
          <w:rFonts w:ascii="Simplified Arabic" w:hAnsi="Simplified Arabic" w:cs="Simplified Arabic"/>
          <w:sz w:val="24"/>
          <w:szCs w:val="24"/>
        </w:rPr>
      </w:pPr>
      <w:r w:rsidRPr="001B0F20">
        <w:rPr>
          <w:rFonts w:ascii="Simplified Arabic" w:hAnsi="Simplified Arabic" w:cs="Simplified Arabic"/>
          <w:sz w:val="24"/>
          <w:szCs w:val="24"/>
          <w:rtl/>
          <w:lang w:bidi="ar"/>
        </w:rPr>
        <w:t xml:space="preserve">كما تتوقع </w:t>
      </w:r>
      <w:hyperlink r:id="rId5" w:history="1">
        <w:r w:rsidRPr="001B0F20">
          <w:rPr>
            <w:rStyle w:val="Hyperlink"/>
            <w:rFonts w:ascii="Simplified Arabic" w:hAnsi="Simplified Arabic" w:cs="Simplified Arabic"/>
            <w:sz w:val="24"/>
            <w:szCs w:val="24"/>
            <w:rtl/>
            <w:lang w:bidi="ar"/>
          </w:rPr>
          <w:t>الوزارة</w:t>
        </w:r>
      </w:hyperlink>
      <w:r w:rsidRPr="001B0F20">
        <w:rPr>
          <w:rFonts w:ascii="Simplified Arabic" w:hAnsi="Simplified Arabic" w:cs="Simplified Arabic"/>
          <w:sz w:val="24"/>
          <w:szCs w:val="24"/>
          <w:rtl/>
          <w:lang w:bidi="ar"/>
        </w:rPr>
        <w:t xml:space="preserve"> أن يساهم تحسن الوضع المالي للسلطنة في تعزيز تصنيفها الائتماني، والذي سجل تقدماً بالفعل خلال العام الماضي مدفوعاً بخطة الضبط المالي التي أقرتها الحكومة. </w:t>
      </w:r>
      <w:r w:rsidRPr="001B0F20">
        <w:rPr>
          <w:rFonts w:ascii="Simplified Arabic" w:hAnsi="Simplified Arabic" w:cs="Simplified Arabic"/>
          <w:sz w:val="24"/>
          <w:szCs w:val="24"/>
        </w:rPr>
        <w:br/>
      </w:r>
      <w:r w:rsidRPr="001B0F20">
        <w:rPr>
          <w:rFonts w:ascii="Simplified Arabic" w:hAnsi="Simplified Arabic" w:cs="Simplified Arabic"/>
          <w:sz w:val="24"/>
          <w:szCs w:val="24"/>
        </w:rPr>
        <w:br/>
      </w:r>
      <w:r w:rsidRPr="001B0F20">
        <w:rPr>
          <w:rFonts w:ascii="Simplified Arabic" w:hAnsi="Simplified Arabic" w:cs="Simplified Arabic"/>
          <w:sz w:val="24"/>
          <w:szCs w:val="24"/>
          <w:rtl/>
          <w:lang w:bidi="ar"/>
        </w:rPr>
        <w:t>وبرغم ما توفره أسعار السلع الأساسية المرتفعة من هامش أمان مالي، أكّدت الوزارة بأنّ وكالات التصنيف الائتماني شددت على "أهمية مواصلة تدابير الضبط المالي لضمان الاستدامة المالية والقدرة على تجاوز أي ضغوط مالية مستقبلية"، لا سيما في حال تراجع أسعار السلع الأساسية.</w:t>
      </w:r>
      <w:r w:rsidRPr="001B0F20">
        <w:rPr>
          <w:rFonts w:ascii="Simplified Arabic" w:hAnsi="Simplified Arabic" w:cs="Simplified Arabic"/>
          <w:sz w:val="24"/>
          <w:szCs w:val="24"/>
        </w:rPr>
        <w:br/>
      </w:r>
      <w:r w:rsidRPr="001B0F20">
        <w:rPr>
          <w:rFonts w:ascii="Simplified Arabic" w:hAnsi="Simplified Arabic" w:cs="Simplified Arabic"/>
          <w:sz w:val="24"/>
          <w:szCs w:val="24"/>
        </w:rPr>
        <w:br/>
      </w:r>
      <w:r w:rsidRPr="001B0F20">
        <w:rPr>
          <w:rFonts w:ascii="Simplified Arabic" w:hAnsi="Simplified Arabic" w:cs="Simplified Arabic"/>
          <w:sz w:val="24"/>
          <w:szCs w:val="24"/>
          <w:rtl/>
          <w:lang w:bidi="ar"/>
        </w:rPr>
        <w:t xml:space="preserve">وأصدر </w:t>
      </w:r>
      <w:hyperlink r:id="rId6" w:history="1">
        <w:r w:rsidRPr="001B0F20">
          <w:rPr>
            <w:rStyle w:val="Hyperlink"/>
            <w:rFonts w:ascii="Simplified Arabic" w:hAnsi="Simplified Arabic" w:cs="Simplified Arabic"/>
            <w:sz w:val="24"/>
            <w:szCs w:val="24"/>
            <w:rtl/>
            <w:lang w:bidi="ar"/>
          </w:rPr>
          <w:t>البنك المركزي العُماني</w:t>
        </w:r>
      </w:hyperlink>
      <w:r w:rsidRPr="001B0F20">
        <w:rPr>
          <w:rFonts w:ascii="Simplified Arabic" w:hAnsi="Simplified Arabic" w:cs="Simplified Arabic"/>
          <w:sz w:val="24"/>
          <w:szCs w:val="24"/>
          <w:rtl/>
          <w:lang w:bidi="ar"/>
        </w:rPr>
        <w:t xml:space="preserve"> النسخة الأولى من تقرير استقرار الاقتصاد الكلي، والذي يشمل الفترة بين يناير 2021 ويونيو 2022، والتي شهدت ظهور الضغوطات الاقتصادية الناتجة عن الأزمة الصحية العالمية. ويجدر ذكره بأن الحكومة العمانية نجحت في تجاوز تبعات الأزمة الصحية العالمية، ما أثمر عن تحسن كبير في التوازن المالي. </w:t>
      </w:r>
    </w:p>
    <w:p w14:paraId="082DD79E" w14:textId="46D5199F" w:rsidR="004E7BEB" w:rsidRPr="001B0F20" w:rsidRDefault="001B0F20" w:rsidP="001B0F20">
      <w:pPr>
        <w:bidi/>
        <w:rPr>
          <w:rFonts w:ascii="Simplified Arabic" w:hAnsi="Simplified Arabic" w:cs="Simplified Arabic"/>
          <w:sz w:val="24"/>
          <w:szCs w:val="24"/>
        </w:rPr>
      </w:pPr>
      <w:r w:rsidRPr="001B0F20">
        <w:rPr>
          <w:rFonts w:ascii="Simplified Arabic" w:hAnsi="Simplified Arabic" w:cs="Simplified Arabic"/>
          <w:sz w:val="24"/>
          <w:szCs w:val="24"/>
          <w:rtl/>
          <w:lang w:bidi="ar"/>
        </w:rPr>
        <w:t xml:space="preserve">وسلط التقرير الضوء على تراجع عجز المالية العامة كنسبة مئوية من الناتج المحلي الإجمالي؛ نتيجة ارتفاع عائدات النفط والغاز، ما أدى إلى انخفاض الاحتياجات التمويلية للحكومة، وانخفاض كبير في إجمالي الدين العام كنسبة إلى الناتج المحلي الإجمالي خلال عام 2021 والنصف الأول من عام 2022. كما انخفض الدين الخارجي بشكل كبير خلال هذه الفترة مع قيام </w:t>
      </w:r>
      <w:r w:rsidRPr="001B0F20">
        <w:rPr>
          <w:rFonts w:ascii="Simplified Arabic" w:hAnsi="Simplified Arabic" w:cs="Simplified Arabic"/>
          <w:sz w:val="24"/>
          <w:szCs w:val="24"/>
          <w:rtl/>
          <w:lang w:bidi="ar"/>
        </w:rPr>
        <w:lastRenderedPageBreak/>
        <w:t xml:space="preserve">الحكومة باسترداد وإعادة شراء سندات اليورو والصكوك الدولية. وبرغم التحديات الكبيرة التي فرضها ارتفاع معدلات التضخم في جميع أنحاء العالم، نجحت سلطنة عُمان في احتواء معدلات التضخم مع وصول مؤشر الأسعار الاستهلاكية فيها إلى </w:t>
      </w:r>
      <w:hyperlink r:id="rId7" w:history="1">
        <w:r w:rsidRPr="001B0F20">
          <w:rPr>
            <w:rStyle w:val="Hyperlink"/>
            <w:rFonts w:ascii="Simplified Arabic" w:hAnsi="Simplified Arabic" w:cs="Simplified Arabic"/>
            <w:sz w:val="24"/>
            <w:szCs w:val="24"/>
            <w:rtl/>
            <w:lang w:bidi="ar"/>
          </w:rPr>
          <w:t>1.98%</w:t>
        </w:r>
      </w:hyperlink>
      <w:r w:rsidRPr="001B0F20">
        <w:rPr>
          <w:rFonts w:ascii="Simplified Arabic" w:hAnsi="Simplified Arabic" w:cs="Simplified Arabic"/>
          <w:sz w:val="24"/>
          <w:szCs w:val="24"/>
          <w:rtl/>
          <w:lang w:bidi="ar"/>
        </w:rPr>
        <w:t xml:space="preserve"> في ديسمبر.</w:t>
      </w:r>
      <w:r w:rsidRPr="001B0F20">
        <w:rPr>
          <w:rFonts w:ascii="Simplified Arabic" w:hAnsi="Simplified Arabic" w:cs="Simplified Arabic"/>
          <w:sz w:val="24"/>
          <w:szCs w:val="24"/>
        </w:rPr>
        <w:br/>
      </w:r>
      <w:r w:rsidRPr="001B0F20">
        <w:rPr>
          <w:rFonts w:ascii="Simplified Arabic" w:hAnsi="Simplified Arabic" w:cs="Simplified Arabic"/>
          <w:sz w:val="24"/>
          <w:szCs w:val="24"/>
        </w:rPr>
        <w:br/>
      </w:r>
      <w:r w:rsidRPr="001B0F20">
        <w:rPr>
          <w:rFonts w:ascii="Simplified Arabic" w:hAnsi="Simplified Arabic" w:cs="Simplified Arabic"/>
          <w:sz w:val="24"/>
          <w:szCs w:val="24"/>
          <w:rtl/>
          <w:lang w:bidi="ar"/>
        </w:rPr>
        <w:t>(انتهى)</w:t>
      </w:r>
    </w:p>
    <w:sectPr w:rsidR="004E7BEB" w:rsidRPr="001B0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F"/>
    <w:rsid w:val="000A3768"/>
    <w:rsid w:val="0010713A"/>
    <w:rsid w:val="001405D5"/>
    <w:rsid w:val="00141EF7"/>
    <w:rsid w:val="00171455"/>
    <w:rsid w:val="001B0F20"/>
    <w:rsid w:val="002B18F6"/>
    <w:rsid w:val="004E0872"/>
    <w:rsid w:val="004E7BEB"/>
    <w:rsid w:val="00514BEA"/>
    <w:rsid w:val="005569F5"/>
    <w:rsid w:val="00595001"/>
    <w:rsid w:val="005C75A1"/>
    <w:rsid w:val="005C792A"/>
    <w:rsid w:val="005C7A54"/>
    <w:rsid w:val="007516DD"/>
    <w:rsid w:val="007B2FF9"/>
    <w:rsid w:val="008C520E"/>
    <w:rsid w:val="009370AB"/>
    <w:rsid w:val="00953D57"/>
    <w:rsid w:val="0098153B"/>
    <w:rsid w:val="009E5798"/>
    <w:rsid w:val="00AC3D97"/>
    <w:rsid w:val="00AF4E18"/>
    <w:rsid w:val="00B47731"/>
    <w:rsid w:val="00C35A5F"/>
    <w:rsid w:val="00D02F58"/>
    <w:rsid w:val="00DA77D5"/>
    <w:rsid w:val="00E43EC2"/>
    <w:rsid w:val="00E62597"/>
    <w:rsid w:val="00E63394"/>
    <w:rsid w:val="00EB3C0B"/>
    <w:rsid w:val="00F05113"/>
    <w:rsid w:val="00FA0C97"/>
    <w:rsid w:val="00FA647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6C2D"/>
  <w15:chartTrackingRefBased/>
  <w15:docId w15:val="{1299060F-0908-47C3-990B-0DDFF702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394"/>
    <w:rPr>
      <w:color w:val="0563C1" w:themeColor="hyperlink"/>
      <w:u w:val="single"/>
    </w:rPr>
  </w:style>
  <w:style w:type="character" w:styleId="UnresolvedMention">
    <w:name w:val="Unresolved Mention"/>
    <w:basedOn w:val="DefaultParagraphFont"/>
    <w:uiPriority w:val="99"/>
    <w:semiHidden/>
    <w:unhideWhenUsed/>
    <w:rsid w:val="00E63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si.gov.om/Pages/AllIndicator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annews.gov.om/topics/en/80/show/111650" TargetMode="External"/><Relationship Id="rId5" Type="http://schemas.openxmlformats.org/officeDocument/2006/relationships/hyperlink" Target="https://www.mof.gov.om/pdf/2023/Pre-Budget%20Statement%20for%20Fiscal%20year%202023.pdf" TargetMode="External"/><Relationship Id="rId4" Type="http://schemas.openxmlformats.org/officeDocument/2006/relationships/hyperlink" Target="https://www.mof.gov.om/pdf/2023/Pre-Budget%20Statement%20for%20Fiscal%20year%202023.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Norah Nizam</cp:lastModifiedBy>
  <cp:revision>7</cp:revision>
  <dcterms:created xsi:type="dcterms:W3CDTF">2023-02-06T10:53:00Z</dcterms:created>
  <dcterms:modified xsi:type="dcterms:W3CDTF">2023-02-15T08:26:00Z</dcterms:modified>
</cp:coreProperties>
</file>