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Tables and correlation overview: an interpretive guide</w:t>
      </w:r>
    </w:p>
    <w:p>
      <w:r>
        <w:t>Methodological notes for the Election Forensics R Toolkit, descriptive statistics v0.3.0. Illustrative values are fictional unless expressly described otherwise. The accompanying election reports contain calculations on the actual 2017 and 2022 RZS workbooks.</w:t>
      </w:r>
    </w:p>
    <w:p>
      <w:pPr>
        <w:pStyle w:val="Heading1"/>
      </w:pPr>
      <w:r>
        <w:t>1. Table 1: electorate and ballot-accounting summary</w:t>
      </w:r>
    </w:p>
    <w:p>
      <w:pPr>
        <w:pStyle w:val="Heading2"/>
      </w:pPr>
      <w:r>
        <w:t>Definition and use</w:t>
      </w:r>
    </w:p>
    <w:p>
      <w:r>
        <w:t>The first national table reproduces the supplied layout with groups All, 100 or more, Less than 100, Small, Middle, Large, JHK Small and JHK Large. Its columns are registered voters, cast ballots, valid and invalid ballots, with each count accompanied by a share of the All total. Shares are within each count type, not turnout or candidate support. These rows belong to overlapping classifications and must not be totalled vertically.</w:t>
      </w:r>
    </w:p>
    <w:p>
      <w:pPr>
        <w:pStyle w:val="Heading2"/>
      </w:pPr>
      <w:r>
        <w:t>Illustrative interpretation</w:t>
      </w:r>
    </w:p>
    <w:p>
      <w:r>
        <w:t>Dummy example: All registered=10,000 and Small registered=2,000 gives 20.00% of the All registered electorate. All invalid ballots=100 and Small invalid=30 gives 30.00% of all invalid ballots. It does NOT mean 30% of Small-group ballots are invalid; for that use I/C.</w:t>
      </w:r>
    </w:p>
    <w:p>
      <w:pPr>
        <w:pStyle w:val="Heading2"/>
      </w:pPr>
      <w:r>
        <w:t>Alternative explanations and verification</w:t>
      </w:r>
    </w:p>
    <w:p>
      <w:r>
        <w:t>Investigate large disproportions by comparing the correct denominator and local station mix. Cross-check the raw Master and eligibility flags.</w:t>
      </w:r>
    </w:p>
    <w:p>
      <w:pPr>
        <w:pStyle w:val="Heading1"/>
      </w:pPr>
      <w:r>
        <w:t>2. Table 2: polling-station count and mean electorate</w:t>
      </w:r>
    </w:p>
    <w:p>
      <w:pPr>
        <w:pStyle w:val="Heading2"/>
      </w:pPr>
      <w:r>
        <w:t>Definition and use</w:t>
      </w:r>
    </w:p>
    <w:p>
      <w:r>
        <w:t>The second national table lists registered voters, number of polling stations and arithmetic mean registered voters per station for each group. It is a structural composition table. The Small/Middle/Large groups sum to the Main sample, as do the JHK groups, but not to the expanded All.</w:t>
      </w:r>
    </w:p>
    <w:p>
      <w:pPr>
        <w:pStyle w:val="Heading2"/>
      </w:pPr>
      <w:r>
        <w:t>Illustrative interpretation</w:t>
      </w:r>
    </w:p>
    <w:p>
      <w:r>
        <w:t>If Small holds 2,000 registered voters across 20 stations, mean station size is 100.00; if Large holds 2,000 voters across 2 stations, mean is 1,000.00. The equal electorate totals do not imply equal station counts.</w:t>
      </w:r>
    </w:p>
    <w:p>
      <w:pPr>
        <w:pStyle w:val="Heading2"/>
      </w:pPr>
      <w:r>
        <w:t>Alternative explanations and verification</w:t>
      </w:r>
    </w:p>
    <w:p>
      <w:r>
        <w:t>Station sizes reflect electoral geography and operational design, not necessarily misconduct.</w:t>
      </w:r>
    </w:p>
    <w:p>
      <w:pPr>
        <w:pStyle w:val="Heading1"/>
      </w:pPr>
      <w:r>
        <w:t>3. Table 3: robust rates and concentration</w:t>
      </w:r>
    </w:p>
    <w:p>
      <w:pPr>
        <w:pStyle w:val="Heading2"/>
      </w:pPr>
      <w:r>
        <w:t>Definition and use</w:t>
      </w:r>
    </w:p>
    <w:p>
      <w:r>
        <w:t>The additional main table includes aggregate turnout and candidate/list percentages, effective number of options, median turnout, turnout IQR and outlier count. Aggregate rates are computed from summed votes/ballots; robust measures are computed from individual stations.</w:t>
      </w:r>
    </w:p>
    <w:p>
      <w:pPr>
        <w:pStyle w:val="Heading2"/>
      </w:pPr>
      <w:r>
        <w:t>Illustrative interpretation</w:t>
      </w:r>
    </w:p>
    <w:p>
      <w:r>
        <w:t>Suppose Small mean station turnout=65.00%, median=60.00%, IQR=14.00, but aggregate turnout=58.00%. A few large stations with lower turnout can explain the discrepancy; an upward-skewed distribution can explain the mean–median gap.</w:t>
      </w:r>
    </w:p>
    <w:p>
      <w:pPr>
        <w:pStyle w:val="Heading2"/>
      </w:pPr>
      <w:r>
        <w:t>Alternative explanations and verification</w:t>
      </w:r>
    </w:p>
    <w:p>
      <w:r>
        <w:t>Check effect sizes, population denominators and spatial structure. Avoid interpreting an extreme outlier count without the subgroup’s N.</w:t>
      </w:r>
    </w:p>
    <w:p>
      <w:pPr>
        <w:pStyle w:val="Heading1"/>
      </w:pPr>
      <w:r>
        <w:t>4. District and municipality Appendix A</w:t>
      </w:r>
    </w:p>
    <w:p>
      <w:pPr>
        <w:pStyle w:val="Heading2"/>
      </w:pPr>
      <w:r>
        <w:t>Definition and use</w:t>
      </w:r>
    </w:p>
    <w:p>
      <w:r>
        <w:t>Each of seven size groups has one geographical table with the area name, registered voters, valid ballots, nationally first- and second-ranked options’ votes, valid/registered %, and their shares among valid ballots. The two leading options remain the same nationally in every row. The layout closely follows worksheet Okrug2017.</w:t>
      </w:r>
    </w:p>
    <w:p>
      <w:pPr>
        <w:pStyle w:val="Heading2"/>
      </w:pPr>
      <w:r>
        <w:t>Illustrative interpretation</w:t>
      </w:r>
    </w:p>
    <w:p>
      <w:r>
        <w:t>A district can have national leader 45.00% but runner-up 47.00%; the locally leading option is the runner-up. These columns do not reorder locally. The table is appropriate for comparing geographic patterns without changing the definition of the outcome.</w:t>
      </w:r>
    </w:p>
    <w:p>
      <w:pPr>
        <w:pStyle w:val="Heading2"/>
      </w:pPr>
      <w:r>
        <w:t>Alternative explanations and verification</w:t>
      </w:r>
    </w:p>
    <w:p>
      <w:r>
        <w:t>Different rankings can be genuine local political preferences. Compare with observer reports and contextual data if a difference is unusually large.</w:t>
      </w:r>
    </w:p>
    <w:p>
      <w:pPr>
        <w:pStyle w:val="Heading1"/>
      </w:pPr>
      <w:r>
        <w:t>5. District and municipality Appendix B</w:t>
      </w:r>
    </w:p>
    <w:p>
      <w:pPr>
        <w:pStyle w:val="Heading2"/>
      </w:pPr>
      <w:r>
        <w:t>Definition and use</w:t>
      </w:r>
    </w:p>
    <w:p>
      <w:r>
        <w:t>This section adds counts of stations, aggregate turnout %, station-median turnout, station turnout IQR, median national-leader share, and the Spearman correlation between turnout and national-leader share across stations inside the same area and group, along with the exact two-sided p-value.</w:t>
      </w:r>
    </w:p>
    <w:p>
      <w:pPr>
        <w:pStyle w:val="Heading2"/>
      </w:pPr>
      <w:r>
        <w:t>Illustrative interpretation</w:t>
      </w:r>
    </w:p>
    <w:p>
      <w:r>
        <w:t>District A may have aggregate turnout=61.00%, median station turnout=59.00%, Spearman rho=0.52 with p=0.006 (based on 30 stations). This does not identify the source of that correlation; rurality or socioeconomic variables may explain it.</w:t>
      </w:r>
    </w:p>
    <w:p>
      <w:pPr>
        <w:pStyle w:val="Heading2"/>
      </w:pPr>
      <w:r>
        <w:t>Alternative explanations and verification</w:t>
      </w:r>
    </w:p>
    <w:p>
      <w:r>
        <w:t>When n&lt;3, all station share values are constant, or the option has no valid denominator, the correlation is undefined. Do not replace NA with 0.</w:t>
      </w:r>
    </w:p>
    <w:p>
      <w:pPr>
        <w:pStyle w:val="Heading1"/>
      </w:pPr>
      <w:r>
        <w:t>6. Applied group-comparison tests in Table 4 and Appendix C</w:t>
      </w:r>
    </w:p>
    <w:p>
      <w:pPr>
        <w:pStyle w:val="Heading2"/>
      </w:pPr>
      <w:r>
        <w:t>Definition and use</w:t>
      </w:r>
    </w:p>
    <w:p>
      <w:r>
        <w:t>The national main table and every district/municipality test appendix report actual computed Kruskal–Wallis (three Size groups) and Mann–Whitney–Wilcoxon (two JHK groups) tests for turnout and leading-option share. Columns include number of observations, subgroup medians, statistic, p-value, BH q-value and a significance indicator. Test families are adjusted across areas at the same reporting level, outcome and comparison.</w:t>
      </w:r>
    </w:p>
    <w:p>
      <w:pPr>
        <w:pStyle w:val="Heading2"/>
      </w:pPr>
      <w:r>
        <w:t>Illustrative interpretation</w:t>
      </w:r>
    </w:p>
    <w:p>
      <w:r>
        <w:t>For example, in 100 municipalities, 12 turnout comparisons may have p&lt;0.05 while only 3 have q&lt;0.05. The adjusted significant share is a property of the chosen family of tests, not the percentage of fraudulent municipalities.</w:t>
      </w:r>
    </w:p>
    <w:p>
      <w:pPr>
        <w:pStyle w:val="Heading2"/>
      </w:pPr>
      <w:r>
        <w:t>Alternative explanations and verification</w:t>
      </w:r>
    </w:p>
    <w:p>
      <w:r>
        <w:t>Do not compare overlapping All and Under-100 to other classes with a single omnibus rank test. Report under-100 descriptives separately unless a new, explicitly disjoint comparison is specified.</w:t>
      </w:r>
    </w:p>
    <w:p>
      <w:pPr>
        <w:pStyle w:val="Heading1"/>
      </w:pPr>
      <w:r>
        <w:t>7. correlation_overview.csv: what the numbers ACTUALLY represent</w:t>
      </w:r>
    </w:p>
    <w:p>
      <w:pPr>
        <w:pStyle w:val="Heading2"/>
      </w:pPr>
      <w:r>
        <w:t>Definition and use</w:t>
      </w:r>
    </w:p>
    <w:p>
      <w:r>
        <w:t>THIS FILE IS A MATRIX INVENTORY, NOT A TABLE OF CORRELATION COEFFICIENTS. Each of its 14 rows refers to one combination of geographic level (District or Municipality) and station-size label (7 groups). Matrix is the worksheet identifier such as D_01 or M_07. Level is the unit over which correlations are calculated. Size_group selects stations before geographical aggregation. Areas is the number of nonempty districts or municipalities contributing one aggregate row. Variables is the number of aggregate numerical indicators included in that matrix. N_tested counts DISTINCT off-diagonal variable pairs with calculable two-sided Pearson tests. Significant_nominal counts those with p&lt;0.05; Significant_BH counts those whose within-matrix BH q&lt;0.05. They are counts of statistically flagged PAIRS, never numbers of irregular districts or stations.</w:t>
      </w:r>
    </w:p>
    <w:p>
      <w:pPr>
        <w:pStyle w:val="Heading2"/>
      </w:pPr>
      <w:r>
        <w:t>Illustrative interpretation</w:t>
      </w:r>
    </w:p>
    <w:p>
      <w:r>
        <w:t>Dummy example: Matrix=D_01; Level=District; Size_group=All; Areas=32; Variables=50; N_tested=1,100; Significant_nominal=85; Significant_BH=43. Although 50×49/2=1,225 pairs are possible, only 1,100 have usable variation and complete-pair samples. Exactly 85 of these pairs have unadjusted p&lt;0.05 and 43 survive BH correction. These figures say NOTHING about the number of manipulated districts. One particular coefficient could be r=+0.78 between aggregate Registered and Valid simply because large districts have more voters.</w:t>
      </w:r>
    </w:p>
    <w:p>
      <w:pPr>
        <w:pStyle w:val="Heading2"/>
      </w:pPr>
      <w:r>
        <w:t>Alternative explanations and verification</w:t>
      </w:r>
    </w:p>
    <w:p>
      <w:r>
        <w:t>Use Corr_D_01 / Corr_M_01 worksheets for actual r coefficients, and correlation_pairs_p_q_n.csv for each pair’s r, p, pairwise N and BH q. These are ecological, across-area correlations; the appendix station-level Spearman rho uses a DIFFERENT observational unit.</w:t>
      </w:r>
    </w:p>
    <w:p>
      <w:pPr>
        <w:pStyle w:val="Heading1"/>
      </w:pPr>
      <w:r>
        <w:t>8. Correlation coefficient and asterisk convention</w:t>
      </w:r>
    </w:p>
    <w:p>
      <w:pPr>
        <w:pStyle w:val="Heading2"/>
      </w:pPr>
      <w:r>
        <w:t>Definition and use</w:t>
      </w:r>
    </w:p>
    <w:p>
      <w:r>
        <w:t>Pearson r lies in [-1,+1]. Sign indicates direction and magnitude shows linear association. Asterisks in correlation worksheet matrices mark nominal two-sided p&lt;0.05. They do not denote BH-corrected significance. Exact pairwise sample size and BH-adjusted q must be checked in correlation_pairs_p_q_n.csv.</w:t>
      </w:r>
    </w:p>
    <w:p>
      <w:pPr>
        <w:pStyle w:val="Heading2"/>
      </w:pPr>
      <w:r>
        <w:t>Illustrative interpretation</w:t>
      </w:r>
    </w:p>
    <w:p>
      <w:r>
        <w:t>r=+0.90 between district registered voters and district valid ballots is often a denominator-size effect. r=−0.50 between turnout % and the leading-option share across 32 districts means districts with higher turnout tend to have lower leader shares (linear trend) but not necessarily the same relationship inside districts.</w:t>
      </w:r>
    </w:p>
    <w:p>
      <w:pPr>
        <w:pStyle w:val="Heading2"/>
      </w:pPr>
      <w:r>
        <w:t>Alternative explanations and verification</w:t>
      </w:r>
    </w:p>
    <w:p>
      <w:r>
        <w:t>Ecological fallacy is especially serious in election forensics. A district-level association does not establish individual voter behaviour or polling-station manipulation.</w:t>
      </w:r>
    </w:p>
    <w:p>
      <w:pPr>
        <w:pStyle w:val="Heading1"/>
      </w:pPr>
      <w:r>
        <w:t>9. Why national, district and municipality tests can disagree</w:t>
      </w:r>
    </w:p>
    <w:p>
      <w:pPr>
        <w:pStyle w:val="Heading2"/>
      </w:pPr>
      <w:r>
        <w:t>Definition and use</w:t>
      </w:r>
    </w:p>
    <w:p>
      <w:r>
        <w:t>Aggregating to districts discards station-level heterogeneity; municipality aggregates retain more spatial variation; within-area station correlations focus on yet another unit of observation. Rankings of significance can reverse because denominators, mixture of subpopulations, spatial dependence and the number of observations all change.</w:t>
      </w:r>
    </w:p>
    <w:p>
      <w:pPr>
        <w:pStyle w:val="Heading2"/>
      </w:pPr>
      <w:r>
        <w:t>Illustrative interpretation</w:t>
      </w:r>
    </w:p>
    <w:p>
      <w:r>
        <w:t>A positive correlation across municipalities can coexist with negative correlations within each municipality, a form of aggregation paradox. Similarly, group differences can vanish after stratifying by district.</w:t>
      </w:r>
    </w:p>
    <w:p>
      <w:pPr>
        <w:pStyle w:val="Heading2"/>
      </w:pPr>
      <w:r>
        <w:t>Alternative explanations and verification</w:t>
      </w:r>
    </w:p>
    <w:p>
      <w:r>
        <w:t>Triangulate with geography, census variables, observers’ qualitative reports, chain-of-custody information, re-count outcomes and preregistered hypotheses.</w:t>
      </w:r>
    </w:p>
    <w:p>
      <w:pPr>
        <w:pStyle w:val="Heading1"/>
      </w:pPr>
      <w:r>
        <w:t>10. Quality, publication and inferential safeguards</w:t>
      </w:r>
    </w:p>
    <w:p>
      <w:pPr>
        <w:pStyle w:val="Heading2"/>
      </w:pPr>
      <w:r>
        <w:t>Definition and use</w:t>
      </w:r>
    </w:p>
    <w:p>
      <w:r>
        <w:t>In a journal main text, display no more than two national overview tables plus one targeted robust comparison and one inferential table. Put all 7×district and 7×municipality tabulations in appendices. Make clear which group is the primary analytical Main population and how QC-accepted under-100 stations were included. Avoid language that equates statistical significance or extreme values with fraud.</w:t>
      </w:r>
    </w:p>
    <w:p>
      <w:pPr>
        <w:pStyle w:val="Heading2"/>
      </w:pPr>
      <w:r>
        <w:t>Illustrative interpretation</w:t>
      </w:r>
    </w:p>
    <w:p>
      <w:r>
        <w:t>If a p-value is 0.000024, display &lt;0.001, not 0.00. Counts are integers, rates/statistics two decimals, p-values generally three decimals. Include the sample size and the adjustment family in each test-table note.</w:t>
      </w:r>
    </w:p>
    <w:p>
      <w:pPr>
        <w:pStyle w:val="Heading2"/>
      </w:pPr>
      <w:r>
        <w:t>Alternative explanations and verification</w:t>
      </w:r>
    </w:p>
    <w:p>
      <w:r>
        <w:t>Predefine the variables, compare across similar demographic contexts, and use observer reports to distinguish data-entry errors, ordinary heterogeneity, administrative problems and plausible manipulation mechanisms.</w:t>
      </w:r>
    </w:p>
    <w:p>
      <w:pPr>
        <w:pStyle w:val="Heading1"/>
      </w:pPr>
      <w:r>
        <w:t>Evidence hierarchy and reproducibility</w:t>
      </w:r>
    </w:p>
    <w:p>
      <w:r>
        <w:t>A statistical flag should be documented with its unit of analysis, sample-selection rule, numerator/denominator, observed effect, uncertainty, multiple-testing policy, geographic comparison, original protocol and independent observer evidence. Where possible, preregister a follow-up analysis and reproduce it using the untouched Master dataset and original official download hash. Statistical deviations are a prompt for inquiry; a claim of election fraud requires substantially more direct evidence.</w:t>
      </w:r>
    </w:p>
    <w:sectPr w:rsidR="00FC693F" w:rsidRPr="0006063C" w:rsidSect="00034616">
      <w:footerReference w:type="default" r:id="rId9"/>
      <w:pgSz w:w="11909" w:h="16848"/>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Election Forensics R Toolkit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